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4CB64" w14:textId="7E854C19" w:rsidR="00377A96" w:rsidRPr="009E646A" w:rsidRDefault="00377A96" w:rsidP="00377A96">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 xml:space="preserve">3GPP TSG RAN WG1 </w:t>
      </w:r>
      <w:r>
        <w:rPr>
          <w:rFonts w:ascii="Times New Roman" w:eastAsia="SimSun" w:hAnsi="Times New Roman"/>
          <w:b/>
          <w:sz w:val="24"/>
          <w:lang w:val="en-US" w:eastAsia="zh-CN"/>
        </w:rPr>
        <w:t>#96</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BB6ABE">
        <w:rPr>
          <w:rFonts w:ascii="Times New Roman" w:eastAsia="SimSun" w:hAnsi="Times New Roman"/>
          <w:b/>
          <w:sz w:val="24"/>
          <w:lang w:val="en-US" w:eastAsia="zh-CN"/>
        </w:rPr>
        <w:t>R1-19</w:t>
      </w:r>
      <w:r w:rsidR="00BB6ABE" w:rsidRPr="00BB6ABE">
        <w:rPr>
          <w:rFonts w:ascii="Times New Roman" w:eastAsia="SimSun" w:hAnsi="Times New Roman"/>
          <w:b/>
          <w:sz w:val="24"/>
          <w:lang w:val="en-US" w:eastAsia="zh-CN"/>
        </w:rPr>
        <w:t>02589</w:t>
      </w:r>
    </w:p>
    <w:p w14:paraId="6E5B75C5" w14:textId="77777777" w:rsidR="00377A96" w:rsidRDefault="00377A96" w:rsidP="00377A96">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Athens</w:t>
      </w:r>
      <w:r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Greece</w:t>
      </w:r>
      <w:r w:rsidRPr="00D35CAA">
        <w:rPr>
          <w:rFonts w:ascii="Times New Roman" w:eastAsia="SimSun" w:hAnsi="Times New Roman"/>
          <w:b/>
          <w:sz w:val="24"/>
          <w:lang w:val="en-US" w:eastAsia="zh-CN"/>
        </w:rPr>
        <w:t>, 2</w:t>
      </w:r>
      <w:r>
        <w:rPr>
          <w:rFonts w:ascii="Times New Roman" w:eastAsia="SimSun" w:hAnsi="Times New Roman"/>
          <w:b/>
          <w:sz w:val="24"/>
          <w:lang w:val="en-US" w:eastAsia="zh-CN"/>
        </w:rPr>
        <w:t>5</w:t>
      </w:r>
      <w:r w:rsidRPr="00D35CAA">
        <w:rPr>
          <w:rFonts w:ascii="Times New Roman" w:eastAsia="SimSun" w:hAnsi="Times New Roman"/>
          <w:b/>
          <w:sz w:val="24"/>
          <w:vertAlign w:val="superscript"/>
          <w:lang w:val="en-US" w:eastAsia="zh-CN"/>
        </w:rPr>
        <w:t>t</w:t>
      </w:r>
      <w:r>
        <w:rPr>
          <w:rFonts w:ascii="Times New Roman" w:eastAsia="SimSun" w:hAnsi="Times New Roman"/>
          <w:b/>
          <w:sz w:val="24"/>
          <w:vertAlign w:val="superscript"/>
          <w:lang w:val="en-US" w:eastAsia="zh-CN"/>
        </w:rPr>
        <w:t>h</w:t>
      </w:r>
      <w:r>
        <w:rPr>
          <w:rFonts w:ascii="Times New Roman" w:eastAsia="SimSun" w:hAnsi="Times New Roman"/>
          <w:b/>
          <w:sz w:val="24"/>
          <w:lang w:val="en-US" w:eastAsia="zh-CN"/>
        </w:rPr>
        <w:t xml:space="preserve"> February</w:t>
      </w:r>
      <w:r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March</w:t>
      </w:r>
      <w:r w:rsidRPr="00D35CAA">
        <w:rPr>
          <w:rFonts w:ascii="Times New Roman" w:eastAsia="SimSun" w:hAnsi="Times New Roman"/>
          <w:b/>
          <w:sz w:val="24"/>
          <w:lang w:val="en-US" w:eastAsia="zh-CN"/>
        </w:rPr>
        <w:t xml:space="preserve"> 2019</w:t>
      </w:r>
    </w:p>
    <w:p w14:paraId="2412640F" w14:textId="77777777" w:rsidR="00A1200A" w:rsidRDefault="00A1200A" w:rsidP="00926004">
      <w:pPr>
        <w:pStyle w:val="CRCoverPage"/>
        <w:tabs>
          <w:tab w:val="left" w:pos="1980"/>
        </w:tabs>
        <w:spacing w:after="0"/>
        <w:jc w:val="both"/>
        <w:rPr>
          <w:rFonts w:ascii="Times New Roman" w:hAnsi="Times New Roman"/>
          <w:b/>
          <w:bCs/>
          <w:sz w:val="24"/>
          <w:lang w:val="en-US"/>
        </w:rPr>
      </w:pPr>
    </w:p>
    <w:p w14:paraId="6FA141D4" w14:textId="61D47A57" w:rsidR="00FA20F7" w:rsidRPr="00097AAD" w:rsidRDefault="00FA20F7" w:rsidP="00E004AF">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sidR="001375CD" w:rsidRPr="00097AAD">
        <w:rPr>
          <w:rFonts w:ascii="Times New Roman" w:hAnsi="Times New Roman"/>
          <w:b/>
          <w:bCs/>
          <w:sz w:val="24"/>
          <w:lang w:val="en-US"/>
        </w:rPr>
        <w:t>7</w:t>
      </w:r>
      <w:r w:rsidR="00E246F8" w:rsidRPr="00097AAD">
        <w:rPr>
          <w:rFonts w:ascii="Times New Roman" w:hAnsi="Times New Roman"/>
          <w:b/>
          <w:bCs/>
          <w:sz w:val="24"/>
          <w:lang w:val="en-US"/>
        </w:rPr>
        <w:t>.</w:t>
      </w:r>
      <w:r w:rsidR="006824F3" w:rsidRPr="00097AAD">
        <w:rPr>
          <w:rFonts w:ascii="Times New Roman" w:hAnsi="Times New Roman"/>
          <w:b/>
          <w:bCs/>
          <w:sz w:val="24"/>
          <w:lang w:val="en-US"/>
        </w:rPr>
        <w:t>2.2</w:t>
      </w:r>
      <w:r w:rsidR="00A1200A">
        <w:rPr>
          <w:rFonts w:ascii="Times New Roman" w:hAnsi="Times New Roman"/>
          <w:b/>
          <w:bCs/>
          <w:sz w:val="24"/>
          <w:lang w:val="en-US"/>
        </w:rPr>
        <w:t>.2</w:t>
      </w:r>
      <w:r w:rsidR="00651144" w:rsidRPr="00097AAD">
        <w:rPr>
          <w:rFonts w:ascii="Times New Roman" w:hAnsi="Times New Roman"/>
          <w:b/>
          <w:bCs/>
          <w:sz w:val="24"/>
          <w:lang w:val="en-US"/>
        </w:rPr>
        <w:t>.</w:t>
      </w:r>
      <w:r w:rsidR="00701EE1">
        <w:rPr>
          <w:rFonts w:ascii="Times New Roman" w:hAnsi="Times New Roman"/>
          <w:b/>
          <w:bCs/>
          <w:sz w:val="24"/>
          <w:lang w:val="en-US"/>
        </w:rPr>
        <w:t>3</w:t>
      </w:r>
    </w:p>
    <w:p w14:paraId="186753AF" w14:textId="329F3552" w:rsidR="00FA20F7" w:rsidRPr="00097AAD" w:rsidRDefault="0092027E" w:rsidP="00E004AF">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t>InterDigital</w:t>
      </w:r>
      <w:r w:rsidR="00DF1848">
        <w:rPr>
          <w:rFonts w:ascii="Times New Roman" w:hAnsi="Times New Roman"/>
          <w:b/>
          <w:bCs/>
          <w:sz w:val="24"/>
        </w:rPr>
        <w:t>,</w:t>
      </w:r>
      <w:r w:rsidR="00E17A3B" w:rsidRPr="00097AAD">
        <w:rPr>
          <w:rFonts w:ascii="Times New Roman" w:hAnsi="Times New Roman"/>
          <w:b/>
          <w:bCs/>
          <w:sz w:val="24"/>
        </w:rPr>
        <w:t xml:space="preserve"> </w:t>
      </w:r>
      <w:r w:rsidR="001E0E46" w:rsidRPr="00097AAD">
        <w:rPr>
          <w:rFonts w:ascii="Times New Roman" w:hAnsi="Times New Roman"/>
          <w:b/>
          <w:bCs/>
          <w:sz w:val="24"/>
        </w:rPr>
        <w:t>Inc.</w:t>
      </w:r>
    </w:p>
    <w:p w14:paraId="4F02292E" w14:textId="32359136" w:rsidR="00FA20F7" w:rsidRPr="00097AAD" w:rsidRDefault="00FA20F7" w:rsidP="00E004AF">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sidR="006E16F3">
        <w:rPr>
          <w:rFonts w:ascii="Times New Roman" w:hAnsi="Times New Roman"/>
          <w:b/>
          <w:bCs/>
          <w:sz w:val="24"/>
        </w:rPr>
        <w:t xml:space="preserve">Enhanced </w:t>
      </w:r>
      <w:r w:rsidR="00993EFE" w:rsidRPr="00097AAD">
        <w:rPr>
          <w:rFonts w:ascii="Times New Roman" w:hAnsi="Times New Roman"/>
          <w:b/>
          <w:bCs/>
          <w:sz w:val="24"/>
        </w:rPr>
        <w:t xml:space="preserve">HARQ </w:t>
      </w:r>
      <w:r w:rsidR="006E16F3">
        <w:rPr>
          <w:rFonts w:ascii="Times New Roman" w:hAnsi="Times New Roman"/>
          <w:b/>
          <w:bCs/>
          <w:sz w:val="24"/>
        </w:rPr>
        <w:t>procedures</w:t>
      </w:r>
      <w:r w:rsidR="006222B7" w:rsidRPr="00097AAD">
        <w:rPr>
          <w:rFonts w:ascii="Times New Roman" w:hAnsi="Times New Roman"/>
          <w:b/>
          <w:bCs/>
          <w:sz w:val="24"/>
        </w:rPr>
        <w:t xml:space="preserve"> </w:t>
      </w:r>
      <w:r w:rsidR="0086424A" w:rsidRPr="00097AAD">
        <w:rPr>
          <w:rFonts w:ascii="Times New Roman" w:hAnsi="Times New Roman"/>
          <w:b/>
          <w:bCs/>
          <w:sz w:val="24"/>
        </w:rPr>
        <w:t>for</w:t>
      </w:r>
      <w:r w:rsidR="00993EFE" w:rsidRPr="00097AAD">
        <w:rPr>
          <w:rFonts w:ascii="Times New Roman" w:hAnsi="Times New Roman"/>
          <w:b/>
          <w:bCs/>
          <w:sz w:val="24"/>
        </w:rPr>
        <w:t xml:space="preserve"> NR-U</w:t>
      </w:r>
    </w:p>
    <w:p w14:paraId="20F2A3ED" w14:textId="48C0346C" w:rsidR="00FA20F7" w:rsidRPr="00097AAD" w:rsidRDefault="00A51E32" w:rsidP="00E004AF">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w:t>
      </w:r>
      <w:r w:rsidR="00CD15BB" w:rsidRPr="00097AAD">
        <w:rPr>
          <w:rFonts w:ascii="Times New Roman" w:hAnsi="Times New Roman"/>
          <w:b/>
          <w:bCs/>
          <w:sz w:val="24"/>
        </w:rPr>
        <w:t xml:space="preserve"> and Decision</w:t>
      </w:r>
    </w:p>
    <w:p w14:paraId="45A92109" w14:textId="77777777" w:rsidR="00261A3A" w:rsidRPr="00097AAD" w:rsidRDefault="00A35469" w:rsidP="00C34D28">
      <w:pPr>
        <w:pStyle w:val="Heading1"/>
        <w:rPr>
          <w:rFonts w:ascii="Times New Roman" w:hAnsi="Times New Roman"/>
          <w:b/>
          <w:sz w:val="32"/>
          <w:szCs w:val="32"/>
        </w:rPr>
      </w:pPr>
      <w:r w:rsidRPr="00097AAD">
        <w:rPr>
          <w:rFonts w:ascii="Times New Roman" w:hAnsi="Times New Roman"/>
          <w:b/>
          <w:sz w:val="32"/>
          <w:szCs w:val="32"/>
        </w:rPr>
        <w:t>Introduction</w:t>
      </w:r>
    </w:p>
    <w:p w14:paraId="352AA400" w14:textId="74634749" w:rsidR="005E7B39" w:rsidRDefault="00FE0EFE" w:rsidP="000204F4">
      <w:pPr>
        <w:rPr>
          <w:rFonts w:ascii="Times New Roman" w:hAnsi="Times New Roman"/>
        </w:rPr>
      </w:pPr>
      <w:r w:rsidRPr="00FE0EFE">
        <w:rPr>
          <w:rFonts w:ascii="Times New Roman" w:hAnsi="Times New Roman"/>
        </w:rPr>
        <w:t xml:space="preserve">During the </w:t>
      </w:r>
      <w:r w:rsidR="000204F4">
        <w:rPr>
          <w:rFonts w:ascii="Times New Roman" w:hAnsi="Times New Roman"/>
        </w:rPr>
        <w:t>RAN1 AH 1901 meeting</w:t>
      </w:r>
      <w:r w:rsidRPr="00FE0EFE">
        <w:rPr>
          <w:rFonts w:ascii="Times New Roman" w:hAnsi="Times New Roman"/>
        </w:rPr>
        <w:t xml:space="preserve">, </w:t>
      </w:r>
      <w:r w:rsidR="000204F4">
        <w:rPr>
          <w:rFonts w:ascii="Times New Roman" w:hAnsi="Times New Roman"/>
        </w:rPr>
        <w:t>HARQ enhancements was discussed</w:t>
      </w:r>
      <w:r w:rsidR="006E16F3">
        <w:rPr>
          <w:rFonts w:ascii="Times New Roman" w:hAnsi="Times New Roman"/>
        </w:rPr>
        <w:t xml:space="preserve"> and the following</w:t>
      </w:r>
      <w:r w:rsidRPr="00FE0EFE">
        <w:rPr>
          <w:rFonts w:ascii="Times New Roman" w:hAnsi="Times New Roman"/>
        </w:rPr>
        <w:t xml:space="preserve"> agreements were reached</w:t>
      </w:r>
      <w:r w:rsidR="005E7B39">
        <w:rPr>
          <w:rFonts w:ascii="Times New Roman" w:hAnsi="Times New Roman"/>
        </w:rPr>
        <w:t xml:space="preserve"> regarding the K1 values for NR-U</w:t>
      </w:r>
      <w:r w:rsidR="006E16F3">
        <w:rPr>
          <w:rFonts w:ascii="Times New Roman" w:hAnsi="Times New Roman"/>
        </w:rPr>
        <w:t>:</w:t>
      </w:r>
      <w:r w:rsidRPr="00FE0EFE">
        <w:rPr>
          <w:rFonts w:ascii="Times New Roman" w:hAnsi="Times New Roman"/>
        </w:rPr>
        <w:t xml:space="preserve"> </w:t>
      </w:r>
    </w:p>
    <w:tbl>
      <w:tblPr>
        <w:tblStyle w:val="TableGrid"/>
        <w:tblW w:w="0" w:type="auto"/>
        <w:tblLook w:val="04A0" w:firstRow="1" w:lastRow="0" w:firstColumn="1" w:lastColumn="0" w:noHBand="0" w:noVBand="1"/>
      </w:tblPr>
      <w:tblGrid>
        <w:gridCol w:w="9629"/>
      </w:tblGrid>
      <w:tr w:rsidR="005E7B39" w14:paraId="7D6AAB01" w14:textId="77777777" w:rsidTr="005E7B39">
        <w:tc>
          <w:tcPr>
            <w:tcW w:w="9629" w:type="dxa"/>
          </w:tcPr>
          <w:p w14:paraId="2FACC675" w14:textId="77777777" w:rsidR="005E7B39" w:rsidRPr="000204F4" w:rsidRDefault="005E7B39" w:rsidP="005E7B39">
            <w:pPr>
              <w:rPr>
                <w:rFonts w:ascii="Times New Roman" w:hAnsi="Times New Roman"/>
                <w:bCs/>
                <w:lang w:eastAsia="x-none"/>
              </w:rPr>
            </w:pPr>
            <w:r w:rsidRPr="000204F4">
              <w:rPr>
                <w:rFonts w:ascii="Times New Roman" w:hAnsi="Times New Roman"/>
                <w:bCs/>
                <w:highlight w:val="green"/>
                <w:lang w:eastAsia="x-none"/>
              </w:rPr>
              <w:t>Agreement:</w:t>
            </w:r>
          </w:p>
          <w:p w14:paraId="12463B24" w14:textId="77777777" w:rsidR="005E7B39" w:rsidRPr="000204F4" w:rsidRDefault="005E7B39" w:rsidP="005E7B39">
            <w:pPr>
              <w:numPr>
                <w:ilvl w:val="0"/>
                <w:numId w:val="32"/>
              </w:numPr>
              <w:spacing w:line="240" w:lineRule="auto"/>
              <w:rPr>
                <w:rFonts w:ascii="Times New Roman" w:hAnsi="Times New Roman"/>
                <w:bCs/>
                <w:lang w:eastAsia="x-none"/>
              </w:rPr>
            </w:pPr>
            <w:r w:rsidRPr="000204F4">
              <w:rPr>
                <w:rFonts w:ascii="Times New Roman" w:hAnsi="Times New Roman"/>
                <w:bCs/>
                <w:lang w:eastAsia="x-none"/>
              </w:rPr>
              <w:t>RRC parameter dl-</w:t>
            </w:r>
            <w:proofErr w:type="spellStart"/>
            <w:r w:rsidRPr="000204F4">
              <w:rPr>
                <w:rFonts w:ascii="Times New Roman" w:hAnsi="Times New Roman"/>
                <w:bCs/>
                <w:lang w:eastAsia="x-none"/>
              </w:rPr>
              <w:t>DataToUL</w:t>
            </w:r>
            <w:proofErr w:type="spellEnd"/>
            <w:r w:rsidRPr="000204F4">
              <w:rPr>
                <w:rFonts w:ascii="Times New Roman" w:hAnsi="Times New Roman"/>
                <w:bCs/>
                <w:lang w:eastAsia="x-none"/>
              </w:rPr>
              <w:t>-ACK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2B57963E" w14:textId="77777777" w:rsidR="005E7B39" w:rsidRPr="000204F4" w:rsidRDefault="005E7B39" w:rsidP="005E7B39">
            <w:pPr>
              <w:rPr>
                <w:rFonts w:ascii="Times New Roman" w:hAnsi="Times New Roman"/>
                <w:bCs/>
                <w:lang w:eastAsia="x-none"/>
              </w:rPr>
            </w:pPr>
          </w:p>
          <w:p w14:paraId="5A2B8AE9" w14:textId="77777777" w:rsidR="005E7B39" w:rsidRPr="000204F4" w:rsidRDefault="005E7B39" w:rsidP="005E7B39">
            <w:pPr>
              <w:rPr>
                <w:rFonts w:ascii="Times New Roman" w:hAnsi="Times New Roman"/>
                <w:bCs/>
                <w:u w:val="single"/>
                <w:lang w:eastAsia="x-none"/>
              </w:rPr>
            </w:pPr>
            <w:r w:rsidRPr="000204F4">
              <w:rPr>
                <w:rFonts w:ascii="Times New Roman" w:hAnsi="Times New Roman"/>
                <w:bCs/>
                <w:u w:val="single"/>
                <w:lang w:eastAsia="x-none"/>
              </w:rPr>
              <w:t>Conclusion:</w:t>
            </w:r>
          </w:p>
          <w:p w14:paraId="537CE3EF" w14:textId="77777777" w:rsidR="005E7B39" w:rsidRPr="000204F4" w:rsidRDefault="005E7B39" w:rsidP="005E7B39">
            <w:pPr>
              <w:numPr>
                <w:ilvl w:val="0"/>
                <w:numId w:val="32"/>
              </w:numPr>
              <w:spacing w:line="240" w:lineRule="auto"/>
              <w:rPr>
                <w:rFonts w:ascii="Times New Roman" w:hAnsi="Times New Roman"/>
                <w:bCs/>
                <w:lang w:eastAsia="x-none"/>
              </w:rPr>
            </w:pPr>
            <w:r w:rsidRPr="000204F4">
              <w:rPr>
                <w:rFonts w:ascii="Times New Roman" w:hAnsi="Times New Roman"/>
                <w:bCs/>
                <w:lang w:eastAsia="x-none"/>
              </w:rPr>
              <w:t>No additional value of K1 signaled by PDSCH-to-HARQ-timing-indicator needs to be introduced for the purpose of requesting feedback outside the COT (i.e. Alt3 in TR38.889 section 7.2.1.3.3)</w:t>
            </w:r>
          </w:p>
          <w:p w14:paraId="7941391D" w14:textId="77777777" w:rsidR="005E7B39" w:rsidRPr="000204F4" w:rsidRDefault="005E7B39" w:rsidP="005E7B39">
            <w:pPr>
              <w:numPr>
                <w:ilvl w:val="1"/>
                <w:numId w:val="32"/>
              </w:numPr>
              <w:spacing w:line="240" w:lineRule="auto"/>
              <w:rPr>
                <w:rFonts w:ascii="Times New Roman" w:hAnsi="Times New Roman"/>
                <w:bCs/>
                <w:lang w:eastAsia="x-none"/>
              </w:rPr>
            </w:pPr>
            <w:r w:rsidRPr="000204F4">
              <w:rPr>
                <w:rFonts w:ascii="Times New Roman" w:hAnsi="Times New Roman"/>
                <w:bCs/>
                <w:lang w:eastAsia="x-none"/>
              </w:rPr>
              <w:t>Further discuss the details for determining the LBT type for the UE transmission of HARQ A/N feedback for this case</w:t>
            </w:r>
          </w:p>
          <w:p w14:paraId="5638FFF3" w14:textId="77777777" w:rsidR="005E7B39" w:rsidRPr="000204F4" w:rsidRDefault="005E7B39" w:rsidP="005E7B39">
            <w:pPr>
              <w:numPr>
                <w:ilvl w:val="1"/>
                <w:numId w:val="32"/>
              </w:numPr>
              <w:spacing w:line="240" w:lineRule="auto"/>
              <w:rPr>
                <w:rFonts w:ascii="Times New Roman" w:hAnsi="Times New Roman"/>
                <w:bCs/>
                <w:lang w:eastAsia="x-none"/>
              </w:rPr>
            </w:pPr>
            <w:r w:rsidRPr="000204F4">
              <w:rPr>
                <w:rFonts w:ascii="Times New Roman" w:hAnsi="Times New Roman"/>
                <w:bCs/>
                <w:lang w:eastAsia="x-none"/>
              </w:rPr>
              <w:t>Further discuss whether additional values need to be introduced for the purpose of requesting feedback inside the COT</w:t>
            </w:r>
          </w:p>
          <w:p w14:paraId="63BFF533" w14:textId="77777777" w:rsidR="005E7B39" w:rsidRPr="000204F4" w:rsidRDefault="005E7B39" w:rsidP="005E7B39">
            <w:pPr>
              <w:numPr>
                <w:ilvl w:val="2"/>
                <w:numId w:val="32"/>
              </w:numPr>
              <w:spacing w:line="240" w:lineRule="auto"/>
              <w:rPr>
                <w:rFonts w:ascii="Times New Roman" w:hAnsi="Times New Roman"/>
                <w:bCs/>
                <w:lang w:eastAsia="x-none"/>
              </w:rPr>
            </w:pPr>
            <w:r w:rsidRPr="000204F4">
              <w:rPr>
                <w:rFonts w:ascii="Times New Roman" w:hAnsi="Times New Roman"/>
                <w:bCs/>
                <w:lang w:eastAsia="x-none"/>
              </w:rPr>
              <w:t>If additional values are introduced these can also be used for requesting feedback outside the COT</w:t>
            </w:r>
          </w:p>
          <w:p w14:paraId="61D32CCD" w14:textId="3D83626A" w:rsidR="005E7B39" w:rsidRPr="005E7B39" w:rsidRDefault="005E7B39" w:rsidP="000204F4">
            <w:pPr>
              <w:numPr>
                <w:ilvl w:val="1"/>
                <w:numId w:val="32"/>
              </w:numPr>
              <w:spacing w:line="240" w:lineRule="auto"/>
              <w:rPr>
                <w:rFonts w:ascii="Times New Roman" w:hAnsi="Times New Roman"/>
                <w:bCs/>
                <w:lang w:eastAsia="x-none"/>
              </w:rPr>
            </w:pPr>
            <w:r w:rsidRPr="000204F4">
              <w:rPr>
                <w:rFonts w:ascii="Times New Roman" w:hAnsi="Times New Roman"/>
                <w:bCs/>
                <w:lang w:eastAsia="x-none"/>
              </w:rPr>
              <w:t>Note: This does not necessitate that the UE needs to know whether the feedback is inside or outside the COT at the time when the feedback is requested</w:t>
            </w:r>
          </w:p>
        </w:tc>
      </w:tr>
    </w:tbl>
    <w:p w14:paraId="0C22FD0F" w14:textId="0466D8F5" w:rsidR="000204F4" w:rsidRDefault="000204F4" w:rsidP="007C34BE">
      <w:pPr>
        <w:rPr>
          <w:rFonts w:ascii="Times New Roman" w:hAnsi="Times New Roman"/>
        </w:rPr>
      </w:pPr>
    </w:p>
    <w:p w14:paraId="789DEC4B" w14:textId="78065A73" w:rsidR="005E7B39" w:rsidRDefault="005E7B39" w:rsidP="007C34BE">
      <w:pPr>
        <w:rPr>
          <w:rFonts w:ascii="Times New Roman" w:hAnsi="Times New Roman"/>
        </w:rPr>
      </w:pPr>
      <w:r>
        <w:rPr>
          <w:rFonts w:ascii="Times New Roman" w:hAnsi="Times New Roman"/>
        </w:rPr>
        <w:t xml:space="preserve">Furthermore, to enable multiple opportunities for HARQ A/N the following were agreed: </w:t>
      </w:r>
    </w:p>
    <w:tbl>
      <w:tblPr>
        <w:tblStyle w:val="TableGrid"/>
        <w:tblW w:w="0" w:type="auto"/>
        <w:tblLook w:val="04A0" w:firstRow="1" w:lastRow="0" w:firstColumn="1" w:lastColumn="0" w:noHBand="0" w:noVBand="1"/>
      </w:tblPr>
      <w:tblGrid>
        <w:gridCol w:w="9629"/>
      </w:tblGrid>
      <w:tr w:rsidR="005E7B39" w14:paraId="34011D5A" w14:textId="77777777" w:rsidTr="005E7B39">
        <w:tc>
          <w:tcPr>
            <w:tcW w:w="9629" w:type="dxa"/>
          </w:tcPr>
          <w:p w14:paraId="0E56371F" w14:textId="77777777" w:rsidR="005E7B39" w:rsidRPr="000204F4" w:rsidRDefault="005E7B39" w:rsidP="005E7B39">
            <w:pPr>
              <w:rPr>
                <w:rFonts w:ascii="Times New Roman" w:hAnsi="Times New Roman"/>
                <w:lang w:eastAsia="x-none"/>
              </w:rPr>
            </w:pPr>
            <w:r w:rsidRPr="000204F4">
              <w:rPr>
                <w:rFonts w:ascii="Times New Roman" w:hAnsi="Times New Roman"/>
                <w:highlight w:val="green"/>
                <w:lang w:eastAsia="x-none"/>
              </w:rPr>
              <w:t>Agreement:</w:t>
            </w:r>
          </w:p>
          <w:p w14:paraId="1C8D65F3" w14:textId="77777777" w:rsidR="005E7B39" w:rsidRPr="000204F4" w:rsidRDefault="005E7B39" w:rsidP="005E7B39">
            <w:pPr>
              <w:rPr>
                <w:rFonts w:ascii="Times New Roman" w:hAnsi="Times New Roman"/>
                <w:lang w:eastAsia="x-none"/>
              </w:rPr>
            </w:pPr>
            <w:r w:rsidRPr="000204F4">
              <w:rPr>
                <w:rFonts w:ascii="Times New Roman" w:hAnsi="Times New Roman"/>
                <w:lang w:eastAsia="x-none"/>
              </w:rPr>
              <w:t>For enabling multiple opportunities for HARQ A/N transmission and for cross-COT HARQ-ACK feedback, at least the following is supported:</w:t>
            </w:r>
          </w:p>
          <w:p w14:paraId="4FE8E0B3" w14:textId="6F7758B2" w:rsidR="005E7B39" w:rsidRPr="005E7B39" w:rsidRDefault="005E7B39" w:rsidP="005E7B39">
            <w:pPr>
              <w:ind w:left="567"/>
              <w:rPr>
                <w:rFonts w:ascii="Times New Roman" w:hAnsi="Times New Roman"/>
                <w:lang w:eastAsia="x-none"/>
              </w:rPr>
            </w:pPr>
            <w:r w:rsidRPr="000204F4">
              <w:rPr>
                <w:rFonts w:ascii="Times New Roman" w:hAnsi="Times New Roman"/>
                <w:lang w:eastAsia="x-none"/>
              </w:rPr>
              <w:t>gNB requests/triggers feedback for PDSCH from earlier COT(s) or additional reporting of earlier HARQ feedback, where the exact HARQ feedback timing and resource is provided to the UE in another DCI (in the same or in another COT)</w:t>
            </w:r>
          </w:p>
        </w:tc>
      </w:tr>
    </w:tbl>
    <w:p w14:paraId="4530D0BA" w14:textId="77777777" w:rsidR="006E16F3" w:rsidRDefault="006E16F3" w:rsidP="006E16F3">
      <w:pPr>
        <w:rPr>
          <w:rFonts w:ascii="Times New Roman" w:hAnsi="Times New Roman"/>
        </w:rPr>
      </w:pPr>
    </w:p>
    <w:p w14:paraId="44C0BC4F" w14:textId="5092A790" w:rsidR="000204F4" w:rsidRPr="00097AAD" w:rsidRDefault="006E16F3" w:rsidP="007C34BE">
      <w:pPr>
        <w:rPr>
          <w:rFonts w:ascii="Times New Roman" w:hAnsi="Times New Roman"/>
        </w:rPr>
      </w:pPr>
      <w:r w:rsidRPr="00FE0EFE">
        <w:rPr>
          <w:rFonts w:ascii="Times New Roman" w:hAnsi="Times New Roman"/>
        </w:rPr>
        <w:t>In this contribution, we further discuss HARQ procedure enhancements for NR-U and multi-TTI grants.</w:t>
      </w:r>
      <w:r w:rsidRPr="00097AAD">
        <w:rPr>
          <w:rFonts w:ascii="Times New Roman" w:hAnsi="Times New Roman"/>
        </w:rPr>
        <w:t xml:space="preserve"> </w:t>
      </w:r>
    </w:p>
    <w:p w14:paraId="196DD98E" w14:textId="77777777" w:rsidR="00EE7CD0" w:rsidRPr="00097AAD" w:rsidRDefault="00EE7CD0" w:rsidP="00D80CB2">
      <w:pPr>
        <w:spacing w:before="240"/>
        <w:jc w:val="both"/>
        <w:rPr>
          <w:rFonts w:ascii="Times New Roman" w:hAnsi="Times New Roman"/>
        </w:rPr>
      </w:pPr>
    </w:p>
    <w:p w14:paraId="7C4C003D" w14:textId="2B8A7BCB" w:rsidR="00FF64B4" w:rsidRPr="00097AAD" w:rsidRDefault="005066B8" w:rsidP="00FF64B4">
      <w:pPr>
        <w:pStyle w:val="Heading1"/>
        <w:rPr>
          <w:rFonts w:ascii="Times New Roman" w:hAnsi="Times New Roman"/>
          <w:b/>
          <w:sz w:val="32"/>
          <w:szCs w:val="32"/>
          <w:lang w:val="en-US"/>
        </w:rPr>
      </w:pPr>
      <w:r w:rsidRPr="00097AAD">
        <w:rPr>
          <w:rFonts w:ascii="Times New Roman" w:hAnsi="Times New Roman"/>
          <w:b/>
          <w:sz w:val="32"/>
          <w:szCs w:val="32"/>
        </w:rPr>
        <w:t xml:space="preserve">Enhancements to </w:t>
      </w:r>
      <w:r w:rsidR="00FF64B4" w:rsidRPr="00097AAD">
        <w:rPr>
          <w:rFonts w:ascii="Times New Roman" w:hAnsi="Times New Roman"/>
          <w:b/>
          <w:sz w:val="32"/>
          <w:szCs w:val="32"/>
        </w:rPr>
        <w:t xml:space="preserve">HARQ </w:t>
      </w:r>
      <w:r w:rsidRPr="00097AAD">
        <w:rPr>
          <w:rFonts w:ascii="Times New Roman" w:hAnsi="Times New Roman"/>
          <w:b/>
          <w:sz w:val="32"/>
          <w:szCs w:val="32"/>
        </w:rPr>
        <w:t>Procedure</w:t>
      </w:r>
    </w:p>
    <w:p w14:paraId="3D29CC52" w14:textId="60268E8E" w:rsidR="00326D7E" w:rsidRDefault="00B422F6" w:rsidP="00AC7F21">
      <w:pPr>
        <w:jc w:val="both"/>
        <w:rPr>
          <w:rFonts w:ascii="Times New Roman" w:hAnsi="Times New Roman"/>
        </w:rPr>
      </w:pPr>
      <w:r>
        <w:rPr>
          <w:rFonts w:ascii="Times New Roman" w:hAnsi="Times New Roman"/>
        </w:rPr>
        <w:t xml:space="preserve">During the last RAN1 AH meeting, enhancing HARQ protocol for NR-U was discussed and </w:t>
      </w:r>
      <w:r w:rsidR="006B60BD">
        <w:rPr>
          <w:rFonts w:ascii="Times New Roman" w:hAnsi="Times New Roman"/>
        </w:rPr>
        <w:t>an important agreement</w:t>
      </w:r>
      <w:r>
        <w:rPr>
          <w:rFonts w:ascii="Times New Roman" w:hAnsi="Times New Roman"/>
        </w:rPr>
        <w:t xml:space="preserve"> w</w:t>
      </w:r>
      <w:r w:rsidR="0087593A">
        <w:rPr>
          <w:rFonts w:ascii="Times New Roman" w:hAnsi="Times New Roman"/>
        </w:rPr>
        <w:t>as</w:t>
      </w:r>
      <w:r>
        <w:rPr>
          <w:rFonts w:ascii="Times New Roman" w:hAnsi="Times New Roman"/>
        </w:rPr>
        <w:t xml:space="preserve"> reached. </w:t>
      </w:r>
      <w:r w:rsidR="006B60BD">
        <w:rPr>
          <w:rFonts w:ascii="Times New Roman" w:hAnsi="Times New Roman"/>
        </w:rPr>
        <w:t>Basically, it is support</w:t>
      </w:r>
      <w:r w:rsidR="001B7759">
        <w:rPr>
          <w:rFonts w:ascii="Times New Roman" w:hAnsi="Times New Roman"/>
        </w:rPr>
        <w:t>ed</w:t>
      </w:r>
      <w:r w:rsidR="006B60BD">
        <w:rPr>
          <w:rFonts w:ascii="Times New Roman" w:hAnsi="Times New Roman"/>
        </w:rPr>
        <w:t xml:space="preserve"> in NR-U to indicate to a UE to not transmit </w:t>
      </w:r>
      <w:r w:rsidR="001B7759">
        <w:rPr>
          <w:rFonts w:ascii="Times New Roman" w:hAnsi="Times New Roman"/>
        </w:rPr>
        <w:t>a</w:t>
      </w:r>
      <w:r w:rsidR="006B60BD">
        <w:rPr>
          <w:rFonts w:ascii="Times New Roman" w:hAnsi="Times New Roman"/>
        </w:rPr>
        <w:t xml:space="preserve"> HARQ A/N bit for the corresponding PDSCH, and rather store the A/N value in the buffer. Furthermore, it is supported that the gNB can request the HARQ A/N from earlier COT transmission(s)</w:t>
      </w:r>
      <w:r w:rsidR="001B7759">
        <w:rPr>
          <w:rFonts w:ascii="Times New Roman" w:hAnsi="Times New Roman"/>
        </w:rPr>
        <w:t xml:space="preserve"> the HARQ feedback, where the timing and resource is provided in</w:t>
      </w:r>
      <w:r w:rsidR="0087593A">
        <w:rPr>
          <w:rFonts w:ascii="Times New Roman" w:hAnsi="Times New Roman"/>
        </w:rPr>
        <w:t xml:space="preserve"> a</w:t>
      </w:r>
      <w:r w:rsidR="001B7759">
        <w:rPr>
          <w:rFonts w:ascii="Times New Roman" w:hAnsi="Times New Roman"/>
        </w:rPr>
        <w:t xml:space="preserve"> different DCI. Such solution can be used in the case a </w:t>
      </w:r>
      <w:r w:rsidR="00100C94" w:rsidRPr="001B7759">
        <w:rPr>
          <w:rFonts w:ascii="Times New Roman" w:hAnsi="Times New Roman"/>
        </w:rPr>
        <w:t xml:space="preserve">gNB does not </w:t>
      </w:r>
      <w:r w:rsidR="00CC1C2C" w:rsidRPr="001B7759">
        <w:rPr>
          <w:rFonts w:ascii="Times New Roman" w:hAnsi="Times New Roman"/>
        </w:rPr>
        <w:t xml:space="preserve">detect </w:t>
      </w:r>
      <w:r w:rsidR="00100C94" w:rsidRPr="001B7759">
        <w:rPr>
          <w:rFonts w:ascii="Times New Roman" w:hAnsi="Times New Roman"/>
        </w:rPr>
        <w:t xml:space="preserve">the PUCCH correctly due to </w:t>
      </w:r>
      <w:r w:rsidR="00CC1C2C" w:rsidRPr="001B7759">
        <w:rPr>
          <w:rFonts w:ascii="Times New Roman" w:hAnsi="Times New Roman"/>
        </w:rPr>
        <w:t xml:space="preserve">e.g. </w:t>
      </w:r>
      <w:r w:rsidR="00100C94" w:rsidRPr="001B7759">
        <w:rPr>
          <w:rFonts w:ascii="Times New Roman" w:hAnsi="Times New Roman"/>
        </w:rPr>
        <w:t>collision</w:t>
      </w:r>
      <w:r w:rsidR="0087593A">
        <w:rPr>
          <w:rFonts w:ascii="Times New Roman" w:hAnsi="Times New Roman"/>
        </w:rPr>
        <w:t xml:space="preserve"> or LBT failure at UE</w:t>
      </w:r>
      <w:r w:rsidR="00100C94" w:rsidRPr="001B7759">
        <w:rPr>
          <w:rFonts w:ascii="Times New Roman" w:hAnsi="Times New Roman"/>
        </w:rPr>
        <w:t xml:space="preserve">, </w:t>
      </w:r>
      <w:r w:rsidR="001B7759" w:rsidRPr="001B7759">
        <w:rPr>
          <w:rFonts w:ascii="Times New Roman" w:hAnsi="Times New Roman"/>
        </w:rPr>
        <w:t>by</w:t>
      </w:r>
      <w:r w:rsidR="00100C94" w:rsidRPr="001B7759">
        <w:rPr>
          <w:rFonts w:ascii="Times New Roman" w:hAnsi="Times New Roman"/>
        </w:rPr>
        <w:t xml:space="preserve"> giv</w:t>
      </w:r>
      <w:r w:rsidR="001B7759" w:rsidRPr="001B7759">
        <w:rPr>
          <w:rFonts w:ascii="Times New Roman" w:hAnsi="Times New Roman"/>
        </w:rPr>
        <w:t>ing</w:t>
      </w:r>
      <w:r w:rsidR="00100C94" w:rsidRPr="001B7759">
        <w:rPr>
          <w:rFonts w:ascii="Times New Roman" w:hAnsi="Times New Roman"/>
        </w:rPr>
        <w:t xml:space="preserve"> another chance to the UE to transmit </w:t>
      </w:r>
      <w:r w:rsidR="00100C94" w:rsidRPr="001B7759">
        <w:rPr>
          <w:rFonts w:ascii="Times New Roman" w:hAnsi="Times New Roman"/>
        </w:rPr>
        <w:lastRenderedPageBreak/>
        <w:t>or retransmit the PUCCH by assigning a supplemental PUCCH resource.</w:t>
      </w:r>
      <w:r w:rsidR="00100C94" w:rsidRPr="00097AAD">
        <w:rPr>
          <w:rFonts w:ascii="Times New Roman" w:hAnsi="Times New Roman"/>
        </w:rPr>
        <w:t xml:space="preserve"> </w:t>
      </w:r>
      <w:r w:rsidR="001B7759" w:rsidRPr="00097AAD">
        <w:rPr>
          <w:rFonts w:ascii="Times New Roman" w:hAnsi="Times New Roman"/>
        </w:rPr>
        <w:t>For instance, it may happen that the gNB does not detect an expected PUCCH twice or more in a row which leaves the UE to aggregate HARQ feedback of several PDSCH resources (see example in Figure 2).</w:t>
      </w:r>
      <w:r w:rsidR="001B7759">
        <w:rPr>
          <w:rFonts w:ascii="Times New Roman" w:hAnsi="Times New Roman"/>
        </w:rPr>
        <w:t xml:space="preserve"> Furthermore, for the downlink transmissions occurred in the last slots/symbols of gNB initiated COT, disabling the HARQ feedback for possibly next COT is also is now adopted with the current agreement. </w:t>
      </w:r>
    </w:p>
    <w:p w14:paraId="48082409" w14:textId="052018A6" w:rsidR="00C17921" w:rsidRPr="00097AAD" w:rsidRDefault="00C17921" w:rsidP="00AC7F21">
      <w:pPr>
        <w:jc w:val="both"/>
        <w:rPr>
          <w:rFonts w:ascii="Times New Roman" w:hAnsi="Times New Roman"/>
        </w:rPr>
      </w:pPr>
      <w:r>
        <w:rPr>
          <w:rFonts w:ascii="Times New Roman" w:hAnsi="Times New Roman"/>
        </w:rPr>
        <w:t xml:space="preserve">In our view, multiple HARQ-ACK feedbacks can be aggregated within the same HARQ-ACK codebook. For example, the gNB can request the HARQ-ACK of the stored A/N feedbacks and the failed PUCCH transmissions using </w:t>
      </w:r>
      <w:r w:rsidR="003C0468">
        <w:rPr>
          <w:rFonts w:ascii="Times New Roman" w:hAnsi="Times New Roman"/>
        </w:rPr>
        <w:t>the same DCI.</w:t>
      </w:r>
    </w:p>
    <w:p w14:paraId="5DD08608" w14:textId="79626D28" w:rsidR="00326D7E" w:rsidRPr="00097AAD" w:rsidRDefault="00326D7E" w:rsidP="00E213BD">
      <w:pPr>
        <w:rPr>
          <w:rFonts w:ascii="Times New Roman" w:hAnsi="Times New Roman"/>
        </w:rPr>
      </w:pPr>
      <w:r w:rsidRPr="00097AAD">
        <w:rPr>
          <w:rFonts w:ascii="Times New Roman" w:hAnsi="Times New Roman"/>
        </w:rPr>
        <w:object w:dxaOrig="9717" w:dyaOrig="3798" w14:anchorId="4217B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100.9pt" o:ole="">
            <v:imagedata r:id="rId12" o:title="" croptop="9962f" cropbottom="13163f" cropleft="2443f" cropright="-15166f"/>
          </v:shape>
          <o:OLEObject Type="Embed" ProgID="Visio.Drawing.15" ShapeID="_x0000_i1025" DrawAspect="Content" ObjectID="_1611759612" r:id="rId13"/>
        </w:object>
      </w:r>
    </w:p>
    <w:p w14:paraId="4E4DE3B6" w14:textId="4237C91C" w:rsidR="00326D7E" w:rsidRPr="00097AAD" w:rsidRDefault="00326D7E" w:rsidP="00326D7E">
      <w:pPr>
        <w:jc w:val="center"/>
        <w:rPr>
          <w:rFonts w:ascii="Times New Roman" w:hAnsi="Times New Roman"/>
        </w:rPr>
      </w:pPr>
      <w:r w:rsidRPr="00D10B89">
        <w:rPr>
          <w:rFonts w:ascii="Times New Roman" w:hAnsi="Times New Roman"/>
          <w:b/>
        </w:rPr>
        <w:t>Figure 2:</w:t>
      </w:r>
      <w:r w:rsidRPr="00097AAD">
        <w:rPr>
          <w:rFonts w:ascii="Times New Roman" w:hAnsi="Times New Roman"/>
        </w:rPr>
        <w:t xml:space="preserve"> UE aggregates HARQ feedback of </w:t>
      </w:r>
      <w:r w:rsidR="002B71EC">
        <w:rPr>
          <w:rFonts w:ascii="Times New Roman" w:hAnsi="Times New Roman"/>
        </w:rPr>
        <w:t>the</w:t>
      </w:r>
      <w:r w:rsidRPr="00097AAD">
        <w:rPr>
          <w:rFonts w:ascii="Times New Roman" w:hAnsi="Times New Roman"/>
        </w:rPr>
        <w:t xml:space="preserve"> previous COT and </w:t>
      </w:r>
      <w:r w:rsidR="002B71EC">
        <w:rPr>
          <w:rFonts w:ascii="Times New Roman" w:hAnsi="Times New Roman"/>
        </w:rPr>
        <w:t xml:space="preserve">the </w:t>
      </w:r>
      <w:r w:rsidRPr="00097AAD">
        <w:rPr>
          <w:rFonts w:ascii="Times New Roman" w:hAnsi="Times New Roman"/>
        </w:rPr>
        <w:t>current COT</w:t>
      </w:r>
    </w:p>
    <w:p w14:paraId="7A6790C8" w14:textId="77777777" w:rsidR="00134BCF" w:rsidRPr="00097AAD" w:rsidRDefault="00134BCF" w:rsidP="00E213BD">
      <w:pPr>
        <w:rPr>
          <w:rFonts w:ascii="Times New Roman" w:hAnsi="Times New Roman"/>
        </w:rPr>
      </w:pPr>
    </w:p>
    <w:p w14:paraId="10DF7FB0" w14:textId="77777777" w:rsidR="002F2662" w:rsidRDefault="002F2662" w:rsidP="002F2662">
      <w:pPr>
        <w:jc w:val="both"/>
        <w:rPr>
          <w:rFonts w:ascii="Times New Roman" w:hAnsi="Times New Roman"/>
          <w:i/>
        </w:rPr>
      </w:pPr>
      <w:r w:rsidRPr="00097AAD">
        <w:rPr>
          <w:rFonts w:ascii="Times New Roman" w:hAnsi="Times New Roman"/>
          <w:b/>
          <w:i/>
          <w:u w:val="single"/>
        </w:rPr>
        <w:t xml:space="preserve">Proposal </w:t>
      </w:r>
      <w:r>
        <w:rPr>
          <w:rFonts w:ascii="Times New Roman" w:hAnsi="Times New Roman"/>
          <w:b/>
          <w:i/>
          <w:u w:val="single"/>
        </w:rPr>
        <w:t>1</w:t>
      </w:r>
      <w:r w:rsidRPr="00097AAD">
        <w:rPr>
          <w:rFonts w:ascii="Times New Roman" w:hAnsi="Times New Roman"/>
          <w:b/>
          <w:i/>
          <w:u w:val="single"/>
        </w:rPr>
        <w:t>:</w:t>
      </w:r>
      <w:r w:rsidRPr="00097AAD">
        <w:rPr>
          <w:rFonts w:ascii="Times New Roman" w:hAnsi="Times New Roman"/>
          <w:b/>
          <w:i/>
        </w:rPr>
        <w:t xml:space="preserve"> </w:t>
      </w:r>
      <w:r>
        <w:rPr>
          <w:rFonts w:ascii="Times New Roman" w:hAnsi="Times New Roman"/>
          <w:i/>
        </w:rPr>
        <w:t>Support</w:t>
      </w:r>
      <w:r w:rsidRPr="00097AAD">
        <w:rPr>
          <w:rFonts w:ascii="Times New Roman" w:hAnsi="Times New Roman"/>
          <w:i/>
        </w:rPr>
        <w:t xml:space="preserve"> triggering </w:t>
      </w:r>
      <w:r>
        <w:rPr>
          <w:rFonts w:ascii="Times New Roman" w:hAnsi="Times New Roman"/>
          <w:i/>
        </w:rPr>
        <w:t>multiple</w:t>
      </w:r>
      <w:r w:rsidRPr="00097AAD">
        <w:rPr>
          <w:rFonts w:ascii="Times New Roman" w:hAnsi="Times New Roman"/>
          <w:i/>
        </w:rPr>
        <w:t xml:space="preserve"> HARQ-</w:t>
      </w:r>
      <w:r>
        <w:rPr>
          <w:rFonts w:ascii="Times New Roman" w:hAnsi="Times New Roman"/>
          <w:i/>
        </w:rPr>
        <w:t xml:space="preserve">ACK </w:t>
      </w:r>
      <w:r w:rsidRPr="00097AAD">
        <w:rPr>
          <w:rFonts w:ascii="Times New Roman" w:hAnsi="Times New Roman"/>
          <w:i/>
        </w:rPr>
        <w:t>feedback</w:t>
      </w:r>
      <w:r>
        <w:rPr>
          <w:rFonts w:ascii="Times New Roman" w:hAnsi="Times New Roman"/>
          <w:i/>
        </w:rPr>
        <w:t>s with a single DCI in NR-U.</w:t>
      </w:r>
    </w:p>
    <w:p w14:paraId="6B6FE583" w14:textId="7979D9C3" w:rsidR="00C17921" w:rsidRDefault="009442A8" w:rsidP="002A1A3B">
      <w:pPr>
        <w:spacing w:before="240"/>
        <w:jc w:val="both"/>
        <w:rPr>
          <w:rFonts w:ascii="Times New Roman" w:hAnsi="Times New Roman"/>
          <w:iCs/>
        </w:rPr>
      </w:pPr>
      <w:r>
        <w:rPr>
          <w:rFonts w:ascii="Times New Roman" w:hAnsi="Times New Roman"/>
          <w:iCs/>
        </w:rPr>
        <w:t>One option to trigger the HARQ-ACK feedback of multiple transmission</w:t>
      </w:r>
      <w:r w:rsidR="00603EAE">
        <w:rPr>
          <w:rFonts w:ascii="Times New Roman" w:hAnsi="Times New Roman"/>
          <w:iCs/>
        </w:rPr>
        <w:t>s</w:t>
      </w:r>
      <w:r>
        <w:rPr>
          <w:rFonts w:ascii="Times New Roman" w:hAnsi="Times New Roman"/>
          <w:iCs/>
        </w:rPr>
        <w:t xml:space="preserve"> could be to use the HARQ processes IDs. The gNB can send a DCI containing a bitmap of all the configured HARQ IDs and requests a sub-set of the processes. </w:t>
      </w:r>
      <w:r w:rsidR="00B808AC">
        <w:rPr>
          <w:rFonts w:ascii="Times New Roman" w:hAnsi="Times New Roman"/>
          <w:iCs/>
        </w:rPr>
        <w:t>A</w:t>
      </w:r>
      <w:r>
        <w:rPr>
          <w:rFonts w:ascii="Times New Roman" w:hAnsi="Times New Roman"/>
          <w:iCs/>
        </w:rPr>
        <w:t xml:space="preserve"> drawback of this option is the signaling overhead</w:t>
      </w:r>
      <w:r w:rsidR="00603EAE">
        <w:rPr>
          <w:rFonts w:ascii="Times New Roman" w:hAnsi="Times New Roman"/>
          <w:iCs/>
        </w:rPr>
        <w:t xml:space="preserve">. For example, in case the UE is configured with 16 HARQ processes, 16 bits are needed to indicate for which HARQ ID A/N is requested. </w:t>
      </w:r>
      <w:r w:rsidR="00796E75">
        <w:rPr>
          <w:rFonts w:ascii="Times New Roman" w:hAnsi="Times New Roman"/>
          <w:iCs/>
        </w:rPr>
        <w:t>Another option is to reuse the d</w:t>
      </w:r>
      <w:r w:rsidR="003C0468">
        <w:rPr>
          <w:rFonts w:ascii="Times New Roman" w:hAnsi="Times New Roman"/>
          <w:iCs/>
        </w:rPr>
        <w:t xml:space="preserve">ynamic HARQ codebook supported in NR </w:t>
      </w:r>
      <w:r w:rsidR="00796E75">
        <w:rPr>
          <w:rFonts w:ascii="Times New Roman" w:hAnsi="Times New Roman"/>
          <w:iCs/>
        </w:rPr>
        <w:t>with some enhancements</w:t>
      </w:r>
      <w:r w:rsidR="00B808AC">
        <w:rPr>
          <w:rFonts w:ascii="Times New Roman" w:hAnsi="Times New Roman"/>
          <w:iCs/>
        </w:rPr>
        <w:t>. Dynamic codebook</w:t>
      </w:r>
      <w:r w:rsidR="003C0468">
        <w:rPr>
          <w:rFonts w:ascii="Times New Roman" w:hAnsi="Times New Roman"/>
          <w:iCs/>
        </w:rPr>
        <w:t xml:space="preserve"> allows the </w:t>
      </w:r>
      <w:r w:rsidR="0075423D">
        <w:rPr>
          <w:rFonts w:ascii="Times New Roman" w:hAnsi="Times New Roman"/>
          <w:iCs/>
        </w:rPr>
        <w:t>gNB</w:t>
      </w:r>
      <w:r w:rsidR="003C0468">
        <w:rPr>
          <w:rFonts w:ascii="Times New Roman" w:hAnsi="Times New Roman"/>
          <w:iCs/>
        </w:rPr>
        <w:t xml:space="preserve"> to dynamically</w:t>
      </w:r>
      <w:r w:rsidR="0075423D">
        <w:rPr>
          <w:rFonts w:ascii="Times New Roman" w:hAnsi="Times New Roman"/>
          <w:iCs/>
        </w:rPr>
        <w:t xml:space="preserve"> indicate</w:t>
      </w:r>
      <w:r w:rsidR="003C0468">
        <w:rPr>
          <w:rFonts w:ascii="Times New Roman" w:hAnsi="Times New Roman"/>
          <w:iCs/>
        </w:rPr>
        <w:t xml:space="preserve"> the</w:t>
      </w:r>
      <w:r w:rsidR="0075423D">
        <w:rPr>
          <w:rFonts w:ascii="Times New Roman" w:hAnsi="Times New Roman"/>
          <w:iCs/>
        </w:rPr>
        <w:t xml:space="preserve"> number of</w:t>
      </w:r>
      <w:r w:rsidR="003C0468">
        <w:rPr>
          <w:rFonts w:ascii="Times New Roman" w:hAnsi="Times New Roman"/>
          <w:iCs/>
        </w:rPr>
        <w:t xml:space="preserve"> HARQ-ACK</w:t>
      </w:r>
      <w:r w:rsidR="0075423D">
        <w:rPr>
          <w:rFonts w:ascii="Times New Roman" w:hAnsi="Times New Roman"/>
          <w:iCs/>
        </w:rPr>
        <w:t>s by using counter DAI and total DAI</w:t>
      </w:r>
      <w:r w:rsidR="003C0468">
        <w:rPr>
          <w:rFonts w:ascii="Times New Roman" w:hAnsi="Times New Roman"/>
          <w:iCs/>
        </w:rPr>
        <w:t xml:space="preserve">. One potential enhancement is to use HARQ-ACK codebook process, where the UE maintains multiple HARQ codebooks on its buffer and associates an A/N of TB based on the gNB indication. </w:t>
      </w:r>
      <w:r w:rsidR="00796E75">
        <w:rPr>
          <w:rFonts w:ascii="Times New Roman" w:hAnsi="Times New Roman"/>
          <w:iCs/>
        </w:rPr>
        <w:t xml:space="preserve">Such HARQ codebook process can be </w:t>
      </w:r>
      <w:r w:rsidR="00D374E5">
        <w:rPr>
          <w:rFonts w:ascii="Times New Roman" w:hAnsi="Times New Roman"/>
          <w:iCs/>
        </w:rPr>
        <w:t xml:space="preserve">requested for transmission by the gNB using a DCI that gives a PUCCH resource as well as HARQ timing indication. </w:t>
      </w:r>
    </w:p>
    <w:p w14:paraId="0A6590D5" w14:textId="77777777" w:rsidR="00BB6ABE" w:rsidRDefault="003C0468" w:rsidP="000B1303">
      <w:pPr>
        <w:spacing w:before="240"/>
        <w:jc w:val="both"/>
        <w:rPr>
          <w:rFonts w:ascii="Times New Roman" w:hAnsi="Times New Roman"/>
          <w:i/>
        </w:rPr>
      </w:pPr>
      <w:r w:rsidRPr="00097AAD">
        <w:rPr>
          <w:rFonts w:ascii="Times New Roman" w:hAnsi="Times New Roman"/>
          <w:b/>
          <w:i/>
          <w:u w:val="single"/>
        </w:rPr>
        <w:t xml:space="preserve">Proposal </w:t>
      </w:r>
      <w:r>
        <w:rPr>
          <w:rFonts w:ascii="Times New Roman" w:hAnsi="Times New Roman"/>
          <w:b/>
          <w:i/>
          <w:u w:val="single"/>
        </w:rPr>
        <w:t>2</w:t>
      </w:r>
      <w:r w:rsidRPr="00097AAD">
        <w:rPr>
          <w:rFonts w:ascii="Times New Roman" w:hAnsi="Times New Roman"/>
          <w:b/>
          <w:i/>
          <w:u w:val="single"/>
        </w:rPr>
        <w:t>:</w:t>
      </w:r>
      <w:r w:rsidRPr="00097AAD">
        <w:rPr>
          <w:rFonts w:ascii="Times New Roman" w:hAnsi="Times New Roman"/>
          <w:b/>
          <w:i/>
        </w:rPr>
        <w:t xml:space="preserve"> </w:t>
      </w:r>
      <w:r>
        <w:rPr>
          <w:rFonts w:ascii="Times New Roman" w:hAnsi="Times New Roman"/>
          <w:i/>
        </w:rPr>
        <w:t xml:space="preserve">Dynamic </w:t>
      </w:r>
      <w:r w:rsidRPr="00097AAD">
        <w:rPr>
          <w:rFonts w:ascii="Times New Roman" w:hAnsi="Times New Roman"/>
          <w:i/>
        </w:rPr>
        <w:t xml:space="preserve">HARQ </w:t>
      </w:r>
      <w:r>
        <w:rPr>
          <w:rFonts w:ascii="Times New Roman" w:hAnsi="Times New Roman"/>
          <w:i/>
        </w:rPr>
        <w:t>codebook</w:t>
      </w:r>
      <w:r w:rsidRPr="00097AAD">
        <w:rPr>
          <w:rFonts w:ascii="Times New Roman" w:hAnsi="Times New Roman"/>
          <w:i/>
        </w:rPr>
        <w:t xml:space="preserve"> should be </w:t>
      </w:r>
      <w:r w:rsidRPr="00FA3B9B">
        <w:rPr>
          <w:rFonts w:ascii="Times New Roman" w:hAnsi="Times New Roman"/>
          <w:i/>
        </w:rPr>
        <w:t>enhanced</w:t>
      </w:r>
      <w:r w:rsidRPr="00097AAD">
        <w:rPr>
          <w:rFonts w:ascii="Times New Roman" w:hAnsi="Times New Roman"/>
          <w:i/>
        </w:rPr>
        <w:t xml:space="preserve"> to </w:t>
      </w:r>
      <w:r>
        <w:rPr>
          <w:rFonts w:ascii="Times New Roman" w:hAnsi="Times New Roman"/>
          <w:i/>
        </w:rPr>
        <w:t>support</w:t>
      </w:r>
      <w:r w:rsidRPr="00097AAD">
        <w:rPr>
          <w:rFonts w:ascii="Times New Roman" w:hAnsi="Times New Roman"/>
          <w:i/>
        </w:rPr>
        <w:t xml:space="preserve"> aggregation</w:t>
      </w:r>
      <w:r>
        <w:rPr>
          <w:rFonts w:ascii="Times New Roman" w:hAnsi="Times New Roman"/>
          <w:i/>
        </w:rPr>
        <w:t xml:space="preserve"> </w:t>
      </w:r>
      <w:r w:rsidRPr="00097AAD">
        <w:rPr>
          <w:rFonts w:ascii="Times New Roman" w:hAnsi="Times New Roman"/>
          <w:i/>
        </w:rPr>
        <w:t xml:space="preserve">of </w:t>
      </w:r>
      <w:r>
        <w:rPr>
          <w:rFonts w:ascii="Times New Roman" w:hAnsi="Times New Roman"/>
          <w:i/>
        </w:rPr>
        <w:t>multiple</w:t>
      </w:r>
      <w:r w:rsidRPr="00097AAD">
        <w:rPr>
          <w:rFonts w:ascii="Times New Roman" w:hAnsi="Times New Roman"/>
          <w:i/>
        </w:rPr>
        <w:t xml:space="preserve"> HARQ-</w:t>
      </w:r>
      <w:r>
        <w:rPr>
          <w:rFonts w:ascii="Times New Roman" w:hAnsi="Times New Roman"/>
          <w:i/>
        </w:rPr>
        <w:t xml:space="preserve">ACK </w:t>
      </w:r>
      <w:r w:rsidRPr="00097AAD">
        <w:rPr>
          <w:rFonts w:ascii="Times New Roman" w:hAnsi="Times New Roman"/>
          <w:i/>
        </w:rPr>
        <w:t>feedback</w:t>
      </w:r>
      <w:r>
        <w:rPr>
          <w:rFonts w:ascii="Times New Roman" w:hAnsi="Times New Roman"/>
          <w:i/>
        </w:rPr>
        <w:t>s in NR-U.</w:t>
      </w:r>
      <w:r w:rsidR="00BB6ABE">
        <w:rPr>
          <w:rFonts w:ascii="Times New Roman" w:hAnsi="Times New Roman"/>
          <w:i/>
        </w:rPr>
        <w:t xml:space="preserve"> </w:t>
      </w:r>
    </w:p>
    <w:p w14:paraId="00C94232" w14:textId="05FA9B0B" w:rsidR="00BB6ABE" w:rsidRPr="00BB6ABE" w:rsidRDefault="00BB6ABE" w:rsidP="00BB6ABE">
      <w:pPr>
        <w:pStyle w:val="ListParagraph"/>
        <w:numPr>
          <w:ilvl w:val="0"/>
          <w:numId w:val="32"/>
        </w:numPr>
        <w:ind w:left="630" w:firstLine="540"/>
        <w:jc w:val="both"/>
        <w:rPr>
          <w:rFonts w:ascii="Times New Roman" w:hAnsi="Times New Roman"/>
          <w:i/>
        </w:rPr>
      </w:pPr>
      <w:r>
        <w:rPr>
          <w:rFonts w:ascii="Times New Roman" w:hAnsi="Times New Roman"/>
          <w:i/>
        </w:rPr>
        <w:t>Consider a</w:t>
      </w:r>
      <w:r w:rsidRPr="00BB6ABE">
        <w:rPr>
          <w:rFonts w:ascii="Times New Roman" w:hAnsi="Times New Roman"/>
          <w:i/>
        </w:rPr>
        <w:t xml:space="preserve"> UE buffer</w:t>
      </w:r>
      <w:r>
        <w:rPr>
          <w:rFonts w:ascii="Times New Roman" w:hAnsi="Times New Roman"/>
          <w:i/>
        </w:rPr>
        <w:t>ing</w:t>
      </w:r>
      <w:r w:rsidRPr="00BB6ABE">
        <w:rPr>
          <w:rFonts w:ascii="Times New Roman" w:hAnsi="Times New Roman"/>
          <w:i/>
        </w:rPr>
        <w:t xml:space="preserve"> multiple HARQ-ACK codebook processes.</w:t>
      </w:r>
    </w:p>
    <w:p w14:paraId="5542D74B" w14:textId="130754A5" w:rsidR="00EC2BE7" w:rsidRPr="00097AAD" w:rsidRDefault="004776F1" w:rsidP="00EC2BE7">
      <w:pPr>
        <w:pStyle w:val="Heading1"/>
        <w:pBdr>
          <w:top w:val="single" w:sz="12" w:space="5" w:color="auto"/>
        </w:pBdr>
        <w:spacing w:after="120"/>
        <w:rPr>
          <w:rFonts w:ascii="Times New Roman" w:hAnsi="Times New Roman"/>
          <w:b/>
          <w:sz w:val="32"/>
        </w:rPr>
      </w:pPr>
      <w:r>
        <w:rPr>
          <w:rFonts w:ascii="Times New Roman" w:hAnsi="Times New Roman"/>
          <w:b/>
          <w:sz w:val="32"/>
        </w:rPr>
        <w:t xml:space="preserve">CWS and </w:t>
      </w:r>
      <w:r w:rsidR="00EC2BE7" w:rsidRPr="00097AAD">
        <w:rPr>
          <w:rFonts w:ascii="Times New Roman" w:hAnsi="Times New Roman"/>
          <w:b/>
          <w:sz w:val="32"/>
        </w:rPr>
        <w:t>CBG Level HARQ ACK Transmission</w:t>
      </w:r>
    </w:p>
    <w:p w14:paraId="004A2A5F" w14:textId="6EE012C1" w:rsidR="00EC2BE7" w:rsidRPr="00097AAD" w:rsidRDefault="00EC2BE7" w:rsidP="00B06EDE">
      <w:pPr>
        <w:jc w:val="both"/>
        <w:rPr>
          <w:rFonts w:ascii="Times New Roman" w:hAnsi="Times New Roman"/>
        </w:rPr>
      </w:pPr>
      <w:r w:rsidRPr="00097AAD">
        <w:rPr>
          <w:rFonts w:ascii="Times New Roman" w:hAnsi="Times New Roman"/>
        </w:rPr>
        <w:t xml:space="preserve">Traditionally, contention window size (CWS) is adjusted based on the acknowledgement. For example, if a positive acknowledgement is received, then the CWS may be reset to the minimum value and if a negative acknowledgement is received, or no acknowledgement is received within certain period, the CWS may be double or set to the maximum value. The purpose of CWS adjustment is to increase the </w:t>
      </w:r>
      <w:r w:rsidR="009B7A37" w:rsidRPr="00097AAD">
        <w:rPr>
          <w:rFonts w:ascii="Times New Roman" w:hAnsi="Times New Roman"/>
        </w:rPr>
        <w:t xml:space="preserve">listen interval </w:t>
      </w:r>
      <w:r w:rsidRPr="00097AAD">
        <w:rPr>
          <w:rFonts w:ascii="Times New Roman" w:hAnsi="Times New Roman"/>
        </w:rPr>
        <w:t xml:space="preserve">when the network is dense and thus reduce the collision probability. In LAA, if </w:t>
      </w:r>
      <w:r w:rsidR="00C56AA4" w:rsidRPr="00097AAD">
        <w:rPr>
          <w:rFonts w:ascii="Times New Roman" w:hAnsi="Times New Roman"/>
        </w:rPr>
        <w:t>a predefined</w:t>
      </w:r>
      <w:r w:rsidRPr="00097AAD">
        <w:rPr>
          <w:rFonts w:ascii="Times New Roman" w:hAnsi="Times New Roman"/>
        </w:rPr>
        <w:t xml:space="preserve"> </w:t>
      </w:r>
      <w:r w:rsidR="00C56AA4" w:rsidRPr="00097AAD">
        <w:rPr>
          <w:rFonts w:ascii="Times New Roman" w:hAnsi="Times New Roman"/>
        </w:rPr>
        <w:t xml:space="preserve">percent </w:t>
      </w:r>
      <w:r w:rsidRPr="00097AAD">
        <w:rPr>
          <w:rFonts w:ascii="Times New Roman" w:hAnsi="Times New Roman"/>
        </w:rPr>
        <w:t>of HARQ ACK values corresponding to PDSCH transmissions</w:t>
      </w:r>
      <w:r w:rsidR="00C56AA4" w:rsidRPr="00097AAD">
        <w:rPr>
          <w:rFonts w:ascii="Times New Roman" w:hAnsi="Times New Roman"/>
        </w:rPr>
        <w:t xml:space="preserve"> </w:t>
      </w:r>
      <w:r w:rsidRPr="00097AAD">
        <w:rPr>
          <w:rFonts w:ascii="Times New Roman" w:hAnsi="Times New Roman"/>
        </w:rPr>
        <w:t xml:space="preserve">in </w:t>
      </w:r>
      <w:r w:rsidR="00C56AA4" w:rsidRPr="00097AAD">
        <w:rPr>
          <w:rFonts w:ascii="Times New Roman" w:hAnsi="Times New Roman"/>
        </w:rPr>
        <w:t xml:space="preserve">a </w:t>
      </w:r>
      <w:r w:rsidRPr="00097AAD">
        <w:rPr>
          <w:rFonts w:ascii="Times New Roman" w:hAnsi="Times New Roman"/>
        </w:rPr>
        <w:t xml:space="preserve">reference subframe k or within a period are determined as NACK, then </w:t>
      </w:r>
      <w:r w:rsidR="00C56AA4" w:rsidRPr="00097AAD">
        <w:rPr>
          <w:rFonts w:ascii="Times New Roman" w:hAnsi="Times New Roman"/>
        </w:rPr>
        <w:t xml:space="preserve">CWS is </w:t>
      </w:r>
      <w:r w:rsidRPr="00097AAD">
        <w:rPr>
          <w:rFonts w:ascii="Times New Roman" w:hAnsi="Times New Roman"/>
        </w:rPr>
        <w:t>increase</w:t>
      </w:r>
      <w:r w:rsidR="00C56AA4" w:rsidRPr="00097AAD">
        <w:rPr>
          <w:rFonts w:ascii="Times New Roman" w:hAnsi="Times New Roman"/>
        </w:rPr>
        <w:t>d</w:t>
      </w:r>
      <w:r w:rsidRPr="00097AAD">
        <w:rPr>
          <w:rFonts w:ascii="Times New Roman" w:hAnsi="Times New Roman"/>
        </w:rPr>
        <w:t xml:space="preserve"> to </w:t>
      </w:r>
      <w:r w:rsidR="00C56AA4" w:rsidRPr="00097AAD">
        <w:rPr>
          <w:rFonts w:ascii="Times New Roman" w:hAnsi="Times New Roman"/>
        </w:rPr>
        <w:t xml:space="preserve">the </w:t>
      </w:r>
      <w:r w:rsidRPr="00097AAD">
        <w:rPr>
          <w:rFonts w:ascii="Times New Roman" w:hAnsi="Times New Roman"/>
        </w:rPr>
        <w:t>n</w:t>
      </w:r>
      <w:bookmarkStart w:id="0" w:name="_GoBack"/>
      <w:bookmarkEnd w:id="0"/>
      <w:r w:rsidRPr="00097AAD">
        <w:rPr>
          <w:rFonts w:ascii="Times New Roman" w:hAnsi="Times New Roman"/>
        </w:rPr>
        <w:t xml:space="preserve">ext level otherwise </w:t>
      </w:r>
      <w:r w:rsidR="00C56AA4" w:rsidRPr="00097AAD">
        <w:rPr>
          <w:rFonts w:ascii="Times New Roman" w:hAnsi="Times New Roman"/>
        </w:rPr>
        <w:t xml:space="preserve">it is </w:t>
      </w:r>
      <w:r w:rsidRPr="00097AAD">
        <w:rPr>
          <w:rFonts w:ascii="Times New Roman" w:hAnsi="Times New Roman"/>
        </w:rPr>
        <w:t xml:space="preserve">reset to </w:t>
      </w:r>
      <w:r w:rsidR="00C56AA4" w:rsidRPr="00097AAD">
        <w:rPr>
          <w:rFonts w:ascii="Times New Roman" w:hAnsi="Times New Roman"/>
        </w:rPr>
        <w:t xml:space="preserve">the </w:t>
      </w:r>
      <w:r w:rsidRPr="00097AAD">
        <w:rPr>
          <w:rFonts w:ascii="Times New Roman" w:hAnsi="Times New Roman"/>
        </w:rPr>
        <w:t xml:space="preserve">minimum value. </w:t>
      </w:r>
    </w:p>
    <w:p w14:paraId="45258369" w14:textId="0A5AF68C" w:rsidR="00EC2BE7" w:rsidRPr="00097AAD" w:rsidRDefault="00EC2BE7" w:rsidP="00B06EDE">
      <w:pPr>
        <w:jc w:val="both"/>
        <w:rPr>
          <w:rFonts w:ascii="Times New Roman" w:hAnsi="Times New Roman"/>
        </w:rPr>
      </w:pPr>
      <w:r w:rsidRPr="00097AAD">
        <w:rPr>
          <w:rFonts w:ascii="Times New Roman" w:hAnsi="Times New Roman"/>
        </w:rPr>
        <w:t>With CBG level transmissions</w:t>
      </w:r>
      <w:r w:rsidR="00C6550D">
        <w:rPr>
          <w:rFonts w:ascii="Times New Roman" w:hAnsi="Times New Roman"/>
        </w:rPr>
        <w:t xml:space="preserve"> introduced in NR</w:t>
      </w:r>
      <w:r w:rsidRPr="00097AAD">
        <w:rPr>
          <w:rFonts w:ascii="Times New Roman" w:hAnsi="Times New Roman"/>
        </w:rPr>
        <w:t xml:space="preserve">, a TB may have one or more CBGs, and each CBG may has its own acknowledgement bit. </w:t>
      </w:r>
      <w:r w:rsidR="00C6550D">
        <w:rPr>
          <w:rFonts w:ascii="Times New Roman" w:hAnsi="Times New Roman"/>
        </w:rPr>
        <w:t>It</w:t>
      </w:r>
      <w:r w:rsidRPr="00097AAD">
        <w:rPr>
          <w:rFonts w:ascii="Times New Roman" w:hAnsi="Times New Roman"/>
        </w:rPr>
        <w:t xml:space="preserve"> is possible to receive both positive and negative acknowledgement for CBGs within a TB. </w:t>
      </w:r>
      <w:r w:rsidR="00C6550D">
        <w:rPr>
          <w:rFonts w:ascii="Times New Roman" w:hAnsi="Times New Roman"/>
        </w:rPr>
        <w:t>In case LTE</w:t>
      </w:r>
      <w:r w:rsidRPr="00097AAD">
        <w:rPr>
          <w:rFonts w:ascii="Times New Roman" w:hAnsi="Times New Roman"/>
        </w:rPr>
        <w:t xml:space="preserve"> LAA TB</w:t>
      </w:r>
      <w:r w:rsidR="00C6550D">
        <w:rPr>
          <w:rFonts w:ascii="Times New Roman" w:hAnsi="Times New Roman"/>
        </w:rPr>
        <w:t>-</w:t>
      </w:r>
      <w:r w:rsidRPr="00097AAD">
        <w:rPr>
          <w:rFonts w:ascii="Times New Roman" w:hAnsi="Times New Roman"/>
        </w:rPr>
        <w:t xml:space="preserve">based CWS adjustment procedure is adopted </w:t>
      </w:r>
      <w:r w:rsidR="00492F30" w:rsidRPr="00097AAD">
        <w:rPr>
          <w:rFonts w:ascii="Times New Roman" w:hAnsi="Times New Roman"/>
        </w:rPr>
        <w:t xml:space="preserve">in </w:t>
      </w:r>
      <w:r w:rsidRPr="00097AAD">
        <w:rPr>
          <w:rFonts w:ascii="Times New Roman" w:hAnsi="Times New Roman"/>
        </w:rPr>
        <w:t>NR</w:t>
      </w:r>
      <w:r w:rsidR="00492F30" w:rsidRPr="00097AAD">
        <w:rPr>
          <w:rFonts w:ascii="Times New Roman" w:hAnsi="Times New Roman"/>
        </w:rPr>
        <w:t>-U</w:t>
      </w:r>
      <w:r w:rsidRPr="00097AAD">
        <w:rPr>
          <w:rFonts w:ascii="Times New Roman" w:hAnsi="Times New Roman"/>
        </w:rPr>
        <w:t xml:space="preserve">, we need to clarify the </w:t>
      </w:r>
      <w:r w:rsidR="003C3160" w:rsidRPr="00097AAD">
        <w:rPr>
          <w:rFonts w:ascii="Times New Roman" w:hAnsi="Times New Roman"/>
        </w:rPr>
        <w:t>definition</w:t>
      </w:r>
      <w:r w:rsidRPr="00097AAD">
        <w:rPr>
          <w:rFonts w:ascii="Times New Roman" w:hAnsi="Times New Roman"/>
        </w:rPr>
        <w:t xml:space="preserve"> of </w:t>
      </w:r>
      <w:r w:rsidRPr="00C6550D">
        <w:rPr>
          <w:rFonts w:ascii="Times New Roman" w:hAnsi="Times New Roman"/>
        </w:rPr>
        <w:t>TB ACK/NACK to be used in CWS adjustment</w:t>
      </w:r>
      <w:r w:rsidRPr="00097AAD">
        <w:rPr>
          <w:rFonts w:ascii="Times New Roman" w:hAnsi="Times New Roman"/>
        </w:rPr>
        <w:t xml:space="preserve"> when both TB and CBG level acknowledgements are received. If TB level acknowledgement is ACK and all CBG level acknowledgements are ACK, then TB is considered as ACK. If TB level acknowledgement is NACK and all CBG level acknowledgements are NACK, then TB is considered as NACK. A difficult case is that TB level acknowledgement is NACK and one</w:t>
      </w:r>
      <w:r w:rsidR="007463C5">
        <w:rPr>
          <w:rFonts w:ascii="Times New Roman" w:hAnsi="Times New Roman"/>
        </w:rPr>
        <w:t xml:space="preserve"> or more</w:t>
      </w:r>
      <w:r w:rsidRPr="00097AAD">
        <w:rPr>
          <w:rFonts w:ascii="Times New Roman" w:hAnsi="Times New Roman"/>
        </w:rPr>
        <w:t xml:space="preserve"> CBG acknowledgement</w:t>
      </w:r>
      <w:r w:rsidR="007463C5">
        <w:rPr>
          <w:rFonts w:ascii="Times New Roman" w:hAnsi="Times New Roman"/>
        </w:rPr>
        <w:t>s</w:t>
      </w:r>
      <w:r w:rsidRPr="00097AAD">
        <w:rPr>
          <w:rFonts w:ascii="Times New Roman" w:hAnsi="Times New Roman"/>
        </w:rPr>
        <w:t xml:space="preserve"> </w:t>
      </w:r>
      <w:r w:rsidR="007463C5">
        <w:rPr>
          <w:rFonts w:ascii="Times New Roman" w:hAnsi="Times New Roman"/>
        </w:rPr>
        <w:t>are</w:t>
      </w:r>
      <w:r w:rsidRPr="00097AAD">
        <w:rPr>
          <w:rFonts w:ascii="Times New Roman" w:hAnsi="Times New Roman"/>
        </w:rPr>
        <w:t xml:space="preserve"> ACK. In this case the TB </w:t>
      </w:r>
      <w:r w:rsidRPr="00097AAD">
        <w:rPr>
          <w:rFonts w:ascii="Times New Roman" w:hAnsi="Times New Roman"/>
        </w:rPr>
        <w:lastRenderedPageBreak/>
        <w:t xml:space="preserve">transmission failure may be due to collision or low SNR. </w:t>
      </w:r>
      <w:r w:rsidR="002A11C7" w:rsidRPr="00097AAD">
        <w:rPr>
          <w:rFonts w:ascii="Times New Roman" w:hAnsi="Times New Roman"/>
        </w:rPr>
        <w:t>I</w:t>
      </w:r>
      <w:r w:rsidRPr="00097AAD">
        <w:rPr>
          <w:rFonts w:ascii="Times New Roman" w:hAnsi="Times New Roman"/>
        </w:rPr>
        <w:t xml:space="preserve">n the case of collision </w:t>
      </w:r>
      <w:r w:rsidR="002A11C7" w:rsidRPr="00097AAD">
        <w:rPr>
          <w:rFonts w:ascii="Times New Roman" w:hAnsi="Times New Roman"/>
        </w:rPr>
        <w:t xml:space="preserve">increasing the </w:t>
      </w:r>
      <w:r w:rsidRPr="00097AAD">
        <w:rPr>
          <w:rFonts w:ascii="Times New Roman" w:hAnsi="Times New Roman"/>
        </w:rPr>
        <w:t xml:space="preserve">CWS value should be </w:t>
      </w:r>
      <w:r w:rsidR="002A11C7" w:rsidRPr="00097AAD">
        <w:rPr>
          <w:rFonts w:ascii="Times New Roman" w:hAnsi="Times New Roman"/>
        </w:rPr>
        <w:t>considered</w:t>
      </w:r>
      <w:r w:rsidRPr="00097AAD">
        <w:rPr>
          <w:rFonts w:ascii="Times New Roman" w:hAnsi="Times New Roman"/>
        </w:rPr>
        <w:t xml:space="preserve">, while in the case of low SNR the CWS value may </w:t>
      </w:r>
      <w:r w:rsidR="002A11C7" w:rsidRPr="00097AAD">
        <w:rPr>
          <w:rFonts w:ascii="Times New Roman" w:hAnsi="Times New Roman"/>
        </w:rPr>
        <w:t xml:space="preserve">need </w:t>
      </w:r>
      <w:r w:rsidRPr="00097AAD">
        <w:rPr>
          <w:rFonts w:ascii="Times New Roman" w:hAnsi="Times New Roman"/>
        </w:rPr>
        <w:t>not be increased. A further study to evaluate the statistics of transmission failure in this case</w:t>
      </w:r>
      <w:r w:rsidR="002A11C7" w:rsidRPr="00097AAD">
        <w:rPr>
          <w:rFonts w:ascii="Times New Roman" w:hAnsi="Times New Roman"/>
        </w:rPr>
        <w:t xml:space="preserve"> should be done</w:t>
      </w:r>
      <w:r w:rsidRPr="00097AAD">
        <w:rPr>
          <w:rFonts w:ascii="Times New Roman" w:hAnsi="Times New Roman"/>
        </w:rPr>
        <w:t>.</w:t>
      </w:r>
    </w:p>
    <w:p w14:paraId="4B2F2F88" w14:textId="58101D3E" w:rsidR="00EC2BE7" w:rsidRPr="00097AAD" w:rsidRDefault="00EC2BE7" w:rsidP="00241D36">
      <w:pPr>
        <w:jc w:val="both"/>
        <w:rPr>
          <w:rFonts w:ascii="Times New Roman" w:hAnsi="Times New Roman"/>
        </w:rPr>
      </w:pPr>
      <w:r w:rsidRPr="00097AAD">
        <w:rPr>
          <w:rFonts w:ascii="Times New Roman" w:hAnsi="Times New Roman"/>
        </w:rPr>
        <w:t>Alternatively, a CBG based CWS adjustment procedure may be used in NR</w:t>
      </w:r>
      <w:r w:rsidR="002A11C7" w:rsidRPr="00097AAD">
        <w:rPr>
          <w:rFonts w:ascii="Times New Roman" w:hAnsi="Times New Roman"/>
        </w:rPr>
        <w:t>-U</w:t>
      </w:r>
      <w:r w:rsidRPr="00097AAD">
        <w:rPr>
          <w:rFonts w:ascii="Times New Roman" w:hAnsi="Times New Roman"/>
        </w:rPr>
        <w:t xml:space="preserve">. For example, </w:t>
      </w:r>
      <w:r w:rsidR="002A11C7" w:rsidRPr="00097AAD">
        <w:rPr>
          <w:rFonts w:ascii="Times New Roman" w:hAnsi="Times New Roman"/>
        </w:rPr>
        <w:t xml:space="preserve">a predefined percentage </w:t>
      </w:r>
      <w:r w:rsidRPr="00097AAD">
        <w:rPr>
          <w:rFonts w:ascii="Times New Roman" w:hAnsi="Times New Roman"/>
        </w:rPr>
        <w:t xml:space="preserve">of HARQ ACK values corresponding to </w:t>
      </w:r>
      <w:r w:rsidRPr="00097AAD">
        <w:rPr>
          <w:rFonts w:ascii="Times New Roman" w:hAnsi="Times New Roman"/>
          <w:i/>
        </w:rPr>
        <w:t>CBG transmissions</w:t>
      </w:r>
      <w:r w:rsidRPr="00097AAD">
        <w:rPr>
          <w:rFonts w:ascii="Times New Roman" w:hAnsi="Times New Roman"/>
        </w:rPr>
        <w:t xml:space="preserve"> in reference slot may be used as </w:t>
      </w:r>
      <w:r w:rsidR="007463C5">
        <w:rPr>
          <w:rFonts w:ascii="Times New Roman" w:hAnsi="Times New Roman"/>
        </w:rPr>
        <w:t xml:space="preserve">a </w:t>
      </w:r>
      <w:r w:rsidRPr="00097AAD">
        <w:rPr>
          <w:rFonts w:ascii="Times New Roman" w:hAnsi="Times New Roman"/>
        </w:rPr>
        <w:t xml:space="preserve">criteria to adjust </w:t>
      </w:r>
      <w:r w:rsidR="007463C5">
        <w:rPr>
          <w:rFonts w:ascii="Times New Roman" w:hAnsi="Times New Roman"/>
        </w:rPr>
        <w:t xml:space="preserve">the </w:t>
      </w:r>
      <w:r w:rsidRPr="00097AAD">
        <w:rPr>
          <w:rFonts w:ascii="Times New Roman" w:hAnsi="Times New Roman"/>
        </w:rPr>
        <w:t xml:space="preserve">CWS levels. A TB level transmission may be treated as </w:t>
      </w:r>
      <w:r w:rsidR="007463C5">
        <w:rPr>
          <w:rFonts w:ascii="Times New Roman" w:hAnsi="Times New Roman"/>
        </w:rPr>
        <w:t xml:space="preserve">a </w:t>
      </w:r>
      <w:r w:rsidRPr="00097AAD">
        <w:rPr>
          <w:rFonts w:ascii="Times New Roman" w:hAnsi="Times New Roman"/>
        </w:rPr>
        <w:t>single CBG transmission.</w:t>
      </w:r>
    </w:p>
    <w:p w14:paraId="19C45BA2" w14:textId="5D0A7949" w:rsidR="00CE4505" w:rsidRPr="00097AAD" w:rsidRDefault="00CE4505" w:rsidP="002A1A3B">
      <w:pPr>
        <w:spacing w:before="240"/>
        <w:jc w:val="both"/>
        <w:rPr>
          <w:rFonts w:ascii="Times New Roman" w:hAnsi="Times New Roman"/>
          <w:i/>
        </w:rPr>
      </w:pPr>
      <w:r w:rsidRPr="00097AAD">
        <w:rPr>
          <w:rFonts w:ascii="Times New Roman" w:hAnsi="Times New Roman"/>
          <w:b/>
          <w:i/>
          <w:u w:val="single"/>
        </w:rPr>
        <w:t xml:space="preserve">Proposal </w:t>
      </w:r>
      <w:r w:rsidR="00796E75">
        <w:rPr>
          <w:rFonts w:ascii="Times New Roman" w:hAnsi="Times New Roman"/>
          <w:b/>
          <w:i/>
          <w:u w:val="single"/>
        </w:rPr>
        <w:t>3</w:t>
      </w:r>
      <w:r w:rsidRPr="00097AAD">
        <w:rPr>
          <w:rFonts w:ascii="Times New Roman" w:hAnsi="Times New Roman"/>
          <w:b/>
          <w:i/>
          <w:u w:val="single"/>
        </w:rPr>
        <w:t>:</w:t>
      </w:r>
      <w:r w:rsidRPr="00097AAD">
        <w:rPr>
          <w:rFonts w:ascii="Times New Roman" w:hAnsi="Times New Roman"/>
          <w:i/>
        </w:rPr>
        <w:t xml:space="preserve"> NR-U should </w:t>
      </w:r>
      <w:r w:rsidR="00790633">
        <w:rPr>
          <w:rFonts w:ascii="Times New Roman" w:hAnsi="Times New Roman"/>
          <w:i/>
        </w:rPr>
        <w:t xml:space="preserve">consider enhancements to the </w:t>
      </w:r>
      <w:r w:rsidR="00B06EDE" w:rsidRPr="00097AAD">
        <w:rPr>
          <w:rFonts w:ascii="Times New Roman" w:hAnsi="Times New Roman"/>
          <w:i/>
        </w:rPr>
        <w:t>CWS adjustment procedure</w:t>
      </w:r>
      <w:r w:rsidR="008C3335">
        <w:rPr>
          <w:rFonts w:ascii="Times New Roman" w:hAnsi="Times New Roman"/>
          <w:i/>
        </w:rPr>
        <w:t xml:space="preserve"> considering the CBG</w:t>
      </w:r>
      <w:r w:rsidR="00266A17">
        <w:rPr>
          <w:rFonts w:ascii="Times New Roman" w:hAnsi="Times New Roman"/>
          <w:i/>
        </w:rPr>
        <w:t>-level A/N</w:t>
      </w:r>
      <w:r w:rsidRPr="00097AAD">
        <w:rPr>
          <w:rFonts w:ascii="Times New Roman" w:hAnsi="Times New Roman"/>
          <w:i/>
        </w:rPr>
        <w:t>.</w:t>
      </w:r>
    </w:p>
    <w:p w14:paraId="3C9E60BC" w14:textId="77777777" w:rsidR="00B40AF6" w:rsidRPr="00097AAD" w:rsidRDefault="00B40AF6" w:rsidP="00B40AF6">
      <w:pPr>
        <w:pStyle w:val="Heading1"/>
        <w:pBdr>
          <w:top w:val="single" w:sz="12" w:space="5" w:color="auto"/>
        </w:pBdr>
        <w:spacing w:after="120"/>
        <w:jc w:val="both"/>
        <w:rPr>
          <w:rFonts w:ascii="Times New Roman" w:hAnsi="Times New Roman"/>
          <w:b/>
          <w:sz w:val="32"/>
          <w:lang w:val="en-US"/>
        </w:rPr>
      </w:pPr>
      <w:r w:rsidRPr="00097AAD">
        <w:rPr>
          <w:rFonts w:ascii="Times New Roman" w:hAnsi="Times New Roman"/>
          <w:b/>
          <w:sz w:val="32"/>
          <w:lang w:val="en-US"/>
        </w:rPr>
        <w:t>LBT and CWS Adjustment for PUCCH Transmission</w:t>
      </w:r>
    </w:p>
    <w:p w14:paraId="40EA5D77" w14:textId="00627D88" w:rsidR="00B40AF6" w:rsidRPr="00097AAD" w:rsidRDefault="00F97C46" w:rsidP="00FD45C3">
      <w:pPr>
        <w:jc w:val="both"/>
        <w:rPr>
          <w:rFonts w:ascii="Times New Roman" w:hAnsi="Times New Roman"/>
        </w:rPr>
      </w:pPr>
      <w:r>
        <w:rPr>
          <w:rFonts w:ascii="Times New Roman" w:hAnsi="Times New Roman"/>
        </w:rPr>
        <w:t>Given the latest RAN1 agreements, i</w:t>
      </w:r>
      <w:r w:rsidR="00B40AF6" w:rsidRPr="00097AAD">
        <w:rPr>
          <w:rFonts w:ascii="Times New Roman" w:hAnsi="Times New Roman"/>
        </w:rPr>
        <w:t xml:space="preserve">t is possible that a UE </w:t>
      </w:r>
      <w:r>
        <w:rPr>
          <w:rFonts w:ascii="Times New Roman" w:hAnsi="Times New Roman"/>
        </w:rPr>
        <w:t>receives a</w:t>
      </w:r>
      <w:r w:rsidR="00B40AF6" w:rsidRPr="00097AAD">
        <w:rPr>
          <w:rFonts w:ascii="Times New Roman" w:hAnsi="Times New Roman"/>
        </w:rPr>
        <w:t xml:space="preserve"> PDSCH-to-HARQ-timing</w:t>
      </w:r>
      <w:r>
        <w:rPr>
          <w:rFonts w:ascii="Times New Roman" w:hAnsi="Times New Roman"/>
        </w:rPr>
        <w:t xml:space="preserve"> </w:t>
      </w:r>
      <w:r w:rsidR="00B40AF6" w:rsidRPr="00097AAD">
        <w:rPr>
          <w:rFonts w:ascii="Times New Roman" w:hAnsi="Times New Roman"/>
        </w:rPr>
        <w:t>indicat</w:t>
      </w:r>
      <w:r>
        <w:rPr>
          <w:rFonts w:ascii="Times New Roman" w:hAnsi="Times New Roman"/>
        </w:rPr>
        <w:t>ion</w:t>
      </w:r>
      <w:r w:rsidR="00B40AF6" w:rsidRPr="00097AAD">
        <w:rPr>
          <w:rFonts w:ascii="Times New Roman" w:hAnsi="Times New Roman"/>
        </w:rPr>
        <w:t xml:space="preserve"> outside of the current COT. While a gNB cannot extend the COT duration beyond MCOT, a UE, like any other device that operates in the unlicensed band, can still try to access the channel after performing appropriate LBT procedure. If the PDSCH-to-HARQ-timing indicates that the scheduled PUCCH is longer than 25µs after the COT, then the UE may have to invoke a more robust LBT category such as Cat-3</w:t>
      </w:r>
      <w:r>
        <w:rPr>
          <w:rFonts w:ascii="Times New Roman" w:hAnsi="Times New Roman"/>
        </w:rPr>
        <w:t xml:space="preserve"> or Cat-4</w:t>
      </w:r>
      <w:r w:rsidR="00B40AF6" w:rsidRPr="00097AAD">
        <w:rPr>
          <w:rFonts w:ascii="Times New Roman" w:hAnsi="Times New Roman"/>
        </w:rPr>
        <w:t>, otherwise the UE should be allowed to transmit the PUCCH after LBT Cat-1 or Cat-2.</w:t>
      </w:r>
    </w:p>
    <w:p w14:paraId="7A1086C1" w14:textId="763F4D74" w:rsidR="00B40AF6" w:rsidRPr="00097AAD" w:rsidRDefault="00F97C46" w:rsidP="00FD45C3">
      <w:pPr>
        <w:jc w:val="both"/>
        <w:rPr>
          <w:rFonts w:ascii="Times New Roman" w:hAnsi="Times New Roman"/>
        </w:rPr>
      </w:pPr>
      <w:r>
        <w:rPr>
          <w:rFonts w:ascii="Times New Roman" w:hAnsi="Times New Roman"/>
        </w:rPr>
        <w:t>In case the UE fails to access the channel</w:t>
      </w:r>
      <w:r w:rsidR="00B40AF6" w:rsidRPr="00097AAD">
        <w:rPr>
          <w:rFonts w:ascii="Times New Roman" w:hAnsi="Times New Roman"/>
        </w:rPr>
        <w:t xml:space="preserve">, the UE needs to wait for channel being available again and retransmits in </w:t>
      </w:r>
      <w:r w:rsidR="007463C5">
        <w:rPr>
          <w:rFonts w:ascii="Times New Roman" w:hAnsi="Times New Roman"/>
        </w:rPr>
        <w:t xml:space="preserve">the </w:t>
      </w:r>
      <w:r w:rsidR="00B40AF6" w:rsidRPr="00097AAD">
        <w:rPr>
          <w:rFonts w:ascii="Times New Roman" w:hAnsi="Times New Roman"/>
        </w:rPr>
        <w:t xml:space="preserve">next opportunity. Normally, with a failed transmission, a device may need to increase the contention window size so that a larger random back off value may be drawn for next transmission. However, this will introduce a delayed acknowledgement transmission which causes delayed data transmission. If such events happen consecutively, e.g., in a densely populated unlicensed channel, a UE may have to aggregate HARQ feedback several consecutive </w:t>
      </w:r>
      <w:proofErr w:type="spellStart"/>
      <w:r w:rsidR="00B40AF6" w:rsidRPr="00097AAD">
        <w:rPr>
          <w:rFonts w:ascii="Times New Roman" w:hAnsi="Times New Roman"/>
        </w:rPr>
        <w:t>TBs.</w:t>
      </w:r>
      <w:proofErr w:type="spellEnd"/>
    </w:p>
    <w:p w14:paraId="670E82DC" w14:textId="3ADBCEDF" w:rsidR="00B40AF6" w:rsidRPr="00097AAD" w:rsidRDefault="00B40AF6" w:rsidP="00FD45C3">
      <w:pPr>
        <w:jc w:val="both"/>
        <w:rPr>
          <w:rFonts w:ascii="Times New Roman" w:hAnsi="Times New Roman"/>
        </w:rPr>
      </w:pPr>
      <w:r w:rsidRPr="00097AAD">
        <w:rPr>
          <w:rFonts w:ascii="Times New Roman" w:hAnsi="Times New Roman"/>
        </w:rPr>
        <w:t xml:space="preserve">The problem is more significant when aggregated HARQ ACK transmissions for more than one PDSCHs are allowed. It has been agreed that NR-U considers mechanisms to support multiplexing of HARQ feedback for one or more DL HARQ processes. In that case, a UE may have accumulated acknowledgements for multiple PDSCHs to transmit. It is possible that the UE may have a large CWS after several transmission failures in a densely deployed system, causing the accumulated acknowledgements to be delayed significantly. If this happens it seems logical to prioritize the accumulated HARQ codebook. One remedy is to let a UE in such condition to access the channel with a high-priority LBT procedure so that the UE gets to deliver the accumulated HARQ codebook as soon as possible. This includes either using a higher-priority </w:t>
      </w:r>
      <w:r w:rsidR="00F97C46" w:rsidRPr="00097AAD">
        <w:rPr>
          <w:rFonts w:ascii="Times New Roman" w:hAnsi="Times New Roman"/>
        </w:rPr>
        <w:t>LBT or</w:t>
      </w:r>
      <w:r w:rsidRPr="00097AAD">
        <w:rPr>
          <w:rFonts w:ascii="Times New Roman" w:hAnsi="Times New Roman"/>
        </w:rPr>
        <w:t xml:space="preserve"> allowing proper CWS adjustment to shorten the listen interval.</w:t>
      </w:r>
    </w:p>
    <w:p w14:paraId="5912D056" w14:textId="7B1E5665" w:rsidR="00450DB5" w:rsidRPr="00B06EDE" w:rsidRDefault="00B40AF6" w:rsidP="002A1A3B">
      <w:pPr>
        <w:spacing w:before="240"/>
        <w:jc w:val="both"/>
        <w:rPr>
          <w:rFonts w:ascii="Times New Roman" w:hAnsi="Times New Roman"/>
        </w:rPr>
      </w:pPr>
      <w:r w:rsidRPr="00097AAD">
        <w:rPr>
          <w:rFonts w:ascii="Times New Roman" w:hAnsi="Times New Roman"/>
          <w:b/>
          <w:i/>
          <w:u w:val="single"/>
        </w:rPr>
        <w:t xml:space="preserve">Proposal </w:t>
      </w:r>
      <w:r w:rsidR="0004157C">
        <w:rPr>
          <w:rFonts w:ascii="Times New Roman" w:hAnsi="Times New Roman"/>
          <w:b/>
          <w:i/>
          <w:u w:val="single"/>
        </w:rPr>
        <w:t>4</w:t>
      </w:r>
      <w:r w:rsidRPr="00097AAD">
        <w:rPr>
          <w:rFonts w:ascii="Times New Roman" w:hAnsi="Times New Roman"/>
          <w:b/>
          <w:i/>
          <w:u w:val="single"/>
        </w:rPr>
        <w:t>:</w:t>
      </w:r>
      <w:r w:rsidRPr="00097AAD">
        <w:rPr>
          <w:rFonts w:ascii="Times New Roman" w:hAnsi="Times New Roman"/>
          <w:b/>
          <w:i/>
        </w:rPr>
        <w:t xml:space="preserve"> </w:t>
      </w:r>
      <w:r w:rsidRPr="00097AAD">
        <w:rPr>
          <w:rFonts w:ascii="Times New Roman" w:hAnsi="Times New Roman"/>
          <w:i/>
        </w:rPr>
        <w:t xml:space="preserve">If a UE has accumulated HARQ feedback for several preceding PDSCHs, the UE should be allowed: a) to prioritize PUCCH transmission carrying HARQ ACK codebook in CWS procedure, or b) to transmit PUCCH with a higher-priority LBT category.  </w:t>
      </w:r>
    </w:p>
    <w:p w14:paraId="7537D953" w14:textId="474DC9B8" w:rsidR="00450DB5" w:rsidRPr="00450DB5" w:rsidRDefault="00450DB5" w:rsidP="00450DB5">
      <w:pPr>
        <w:pStyle w:val="Heading1"/>
        <w:rPr>
          <w:rFonts w:ascii="Times New Roman" w:hAnsi="Times New Roman"/>
          <w:b/>
          <w:sz w:val="32"/>
          <w:lang w:val="en-US"/>
        </w:rPr>
      </w:pPr>
      <w:r w:rsidRPr="00450DB5">
        <w:rPr>
          <w:rFonts w:ascii="Times New Roman" w:hAnsi="Times New Roman"/>
          <w:b/>
          <w:sz w:val="32"/>
          <w:lang w:val="en-US"/>
        </w:rPr>
        <w:t>Multi-TTI grants</w:t>
      </w:r>
    </w:p>
    <w:p w14:paraId="7ACAAED0" w14:textId="01519438" w:rsidR="00450DB5" w:rsidRPr="00450DB5" w:rsidRDefault="00450DB5" w:rsidP="00450DB5">
      <w:pPr>
        <w:jc w:val="both"/>
        <w:rPr>
          <w:rFonts w:ascii="Times New Roman" w:hAnsi="Times New Roman"/>
        </w:rPr>
      </w:pPr>
      <w:r w:rsidRPr="00450DB5">
        <w:rPr>
          <w:rFonts w:ascii="Times New Roman" w:hAnsi="Times New Roman"/>
        </w:rPr>
        <w:t>To improve COT usage efficiency, it was agreed during the SI that “</w:t>
      </w:r>
      <w:r w:rsidRPr="005172A2">
        <w:rPr>
          <w:rFonts w:ascii="Times New Roman" w:hAnsi="Times New Roman"/>
          <w:i/>
        </w:rPr>
        <w:t>Scheduling multiple TTIs for PUSCH each using a separate UL grant in the same PDCCH monitoring occasion is identified as beneficial. Scheduling</w:t>
      </w:r>
      <w:r w:rsidR="000341A1" w:rsidRPr="005172A2">
        <w:rPr>
          <w:rFonts w:ascii="Times New Roman" w:hAnsi="Times New Roman"/>
          <w:i/>
        </w:rPr>
        <w:t xml:space="preserve"> </w:t>
      </w:r>
      <w:r w:rsidRPr="005172A2">
        <w:rPr>
          <w:rFonts w:ascii="Times New Roman" w:hAnsi="Times New Roman"/>
          <w:i/>
        </w:rPr>
        <w:t>multiple TTIs for PUSCH i.e., scheduling multiple TBs with different HARQ process IDs over multiple slots, using a single UL grant is identified as beneficial and should be supported in NR-U</w:t>
      </w:r>
      <w:r w:rsidRPr="00450DB5">
        <w:rPr>
          <w:rFonts w:ascii="Times New Roman" w:hAnsi="Times New Roman"/>
        </w:rPr>
        <w:t>” [</w:t>
      </w:r>
      <w:r w:rsidR="005172A2">
        <w:rPr>
          <w:rFonts w:ascii="Times New Roman" w:hAnsi="Times New Roman"/>
        </w:rPr>
        <w:t>2</w:t>
      </w:r>
      <w:r w:rsidRPr="00450DB5">
        <w:rPr>
          <w:rFonts w:ascii="Times New Roman" w:hAnsi="Times New Roman"/>
        </w:rPr>
        <w:t>].</w:t>
      </w:r>
    </w:p>
    <w:p w14:paraId="4CA15C85" w14:textId="77777777" w:rsidR="00450DB5" w:rsidRPr="00450DB5" w:rsidRDefault="00450DB5" w:rsidP="00450DB5">
      <w:pPr>
        <w:jc w:val="both"/>
        <w:rPr>
          <w:rFonts w:ascii="Times New Roman" w:hAnsi="Times New Roman"/>
        </w:rPr>
      </w:pPr>
      <w:r w:rsidRPr="00450DB5">
        <w:rPr>
          <w:rFonts w:ascii="Times New Roman" w:hAnsi="Times New Roman"/>
        </w:rPr>
        <w:t>Rather than requiring multiple DL slots for multiple UL grants, allowing multiple grants in a PDCCH monitoring occasion reduces the amount of resources of a COT used for scheduling UEs. This can improve COT usage efficiency and reduce the need for cross-COT scheduling.</w:t>
      </w:r>
    </w:p>
    <w:p w14:paraId="65673700" w14:textId="77777777" w:rsidR="00450DB5" w:rsidRPr="00450DB5" w:rsidRDefault="00450DB5" w:rsidP="00450DB5">
      <w:pPr>
        <w:jc w:val="both"/>
        <w:rPr>
          <w:rFonts w:ascii="Times New Roman" w:hAnsi="Times New Roman"/>
        </w:rPr>
      </w:pPr>
      <w:r w:rsidRPr="00450DB5">
        <w:rPr>
          <w:rFonts w:ascii="Times New Roman" w:hAnsi="Times New Roman"/>
        </w:rPr>
        <w:t>In RAN1 #95, the feature lead summary provides the following alternatives:</w:t>
      </w:r>
    </w:p>
    <w:p w14:paraId="5FB313CC" w14:textId="77777777" w:rsidR="00450DB5" w:rsidRPr="002A1A3B" w:rsidRDefault="00450DB5" w:rsidP="00450DB5">
      <w:pPr>
        <w:numPr>
          <w:ilvl w:val="0"/>
          <w:numId w:val="29"/>
        </w:numPr>
        <w:overflowPunct w:val="0"/>
        <w:autoSpaceDE w:val="0"/>
        <w:autoSpaceDN w:val="0"/>
        <w:adjustRightInd w:val="0"/>
        <w:spacing w:after="120" w:line="240" w:lineRule="auto"/>
        <w:jc w:val="both"/>
        <w:textAlignment w:val="baseline"/>
        <w:rPr>
          <w:rFonts w:ascii="Times New Roman" w:eastAsia="Times New Roman" w:hAnsi="Times New Roman"/>
          <w:bCs/>
          <w:i/>
          <w:lang w:val="en-GB" w:eastAsia="zh-CN"/>
        </w:rPr>
      </w:pPr>
      <w:r w:rsidRPr="002A1A3B">
        <w:rPr>
          <w:rFonts w:ascii="Times New Roman" w:eastAsia="Times New Roman" w:hAnsi="Times New Roman"/>
          <w:b/>
          <w:bCs/>
          <w:i/>
          <w:lang w:val="en-GB" w:eastAsia="zh-CN"/>
        </w:rPr>
        <w:t>Scheme 1</w:t>
      </w:r>
      <w:r w:rsidRPr="002A1A3B">
        <w:rPr>
          <w:rFonts w:ascii="Times New Roman" w:eastAsia="Times New Roman" w:hAnsi="Times New Roman"/>
          <w:bCs/>
          <w:i/>
          <w:lang w:val="en-GB" w:eastAsia="zh-CN"/>
        </w:rPr>
        <w:t xml:space="preserve"> (already agreed): for scheduling multiple TTIs for PUSCH using a single UL grant:</w:t>
      </w:r>
    </w:p>
    <w:p w14:paraId="740B756A" w14:textId="77777777" w:rsidR="00450DB5" w:rsidRPr="002A1A3B" w:rsidRDefault="00450DB5" w:rsidP="00450DB5">
      <w:pPr>
        <w:numPr>
          <w:ilvl w:val="1"/>
          <w:numId w:val="29"/>
        </w:numPr>
        <w:overflowPunct w:val="0"/>
        <w:autoSpaceDE w:val="0"/>
        <w:autoSpaceDN w:val="0"/>
        <w:adjustRightInd w:val="0"/>
        <w:spacing w:after="120" w:line="240" w:lineRule="auto"/>
        <w:jc w:val="both"/>
        <w:textAlignment w:val="baseline"/>
        <w:rPr>
          <w:rFonts w:ascii="Times New Roman" w:eastAsia="Times New Roman" w:hAnsi="Times New Roman"/>
          <w:bCs/>
          <w:i/>
          <w:lang w:val="en-GB" w:eastAsia="zh-CN"/>
        </w:rPr>
      </w:pPr>
      <w:r w:rsidRPr="002A1A3B">
        <w:rPr>
          <w:rFonts w:ascii="Times New Roman" w:eastAsia="Times New Roman" w:hAnsi="Times New Roman"/>
          <w:b/>
          <w:bCs/>
          <w:i/>
          <w:lang w:val="en-GB" w:eastAsia="zh-CN"/>
        </w:rPr>
        <w:t>Scheme 1a</w:t>
      </w:r>
      <w:r w:rsidRPr="002A1A3B">
        <w:rPr>
          <w:rFonts w:ascii="Times New Roman" w:eastAsia="Times New Roman" w:hAnsi="Times New Roman"/>
          <w:bCs/>
          <w:i/>
          <w:lang w:val="en-GB" w:eastAsia="zh-CN"/>
        </w:rPr>
        <w:t>: same TB</w:t>
      </w:r>
    </w:p>
    <w:p w14:paraId="76A44A75" w14:textId="77777777" w:rsidR="00450DB5" w:rsidRPr="002A1A3B" w:rsidRDefault="00450DB5" w:rsidP="00450DB5">
      <w:pPr>
        <w:numPr>
          <w:ilvl w:val="2"/>
          <w:numId w:val="29"/>
        </w:numPr>
        <w:overflowPunct w:val="0"/>
        <w:autoSpaceDE w:val="0"/>
        <w:autoSpaceDN w:val="0"/>
        <w:adjustRightInd w:val="0"/>
        <w:spacing w:after="120" w:line="240" w:lineRule="auto"/>
        <w:jc w:val="both"/>
        <w:textAlignment w:val="baseline"/>
        <w:rPr>
          <w:rFonts w:ascii="Times New Roman" w:eastAsia="Times New Roman" w:hAnsi="Times New Roman"/>
          <w:bCs/>
          <w:i/>
          <w:lang w:val="en-GB" w:eastAsia="zh-CN"/>
        </w:rPr>
      </w:pPr>
      <w:r w:rsidRPr="002A1A3B">
        <w:rPr>
          <w:rFonts w:ascii="Times New Roman" w:eastAsia="Times New Roman" w:hAnsi="Times New Roman"/>
          <w:bCs/>
          <w:i/>
          <w:lang w:val="en-GB" w:eastAsia="zh-CN"/>
        </w:rPr>
        <w:t>One TB rate-matched across all TTIs.</w:t>
      </w:r>
    </w:p>
    <w:p w14:paraId="17C95A86" w14:textId="77777777" w:rsidR="00450DB5" w:rsidRPr="002A1A3B" w:rsidRDefault="00450DB5" w:rsidP="00450DB5">
      <w:pPr>
        <w:numPr>
          <w:ilvl w:val="2"/>
          <w:numId w:val="29"/>
        </w:numPr>
        <w:overflowPunct w:val="0"/>
        <w:autoSpaceDE w:val="0"/>
        <w:autoSpaceDN w:val="0"/>
        <w:adjustRightInd w:val="0"/>
        <w:spacing w:after="120" w:line="240" w:lineRule="auto"/>
        <w:jc w:val="both"/>
        <w:textAlignment w:val="baseline"/>
        <w:rPr>
          <w:rFonts w:ascii="Times New Roman" w:eastAsia="Times New Roman" w:hAnsi="Times New Roman"/>
          <w:bCs/>
          <w:i/>
          <w:lang w:val="en-GB" w:eastAsia="zh-CN"/>
        </w:rPr>
      </w:pPr>
      <w:r w:rsidRPr="002A1A3B">
        <w:rPr>
          <w:rFonts w:ascii="Times New Roman" w:eastAsia="Times New Roman" w:hAnsi="Times New Roman"/>
          <w:bCs/>
          <w:i/>
          <w:lang w:val="en-GB" w:eastAsia="zh-CN"/>
        </w:rPr>
        <w:lastRenderedPageBreak/>
        <w:t>Same TB with different RV in different TTIs (as in Rel-15 NR)</w:t>
      </w:r>
    </w:p>
    <w:p w14:paraId="22A28F70" w14:textId="77777777" w:rsidR="00450DB5" w:rsidRPr="002A1A3B" w:rsidRDefault="00450DB5" w:rsidP="00450DB5">
      <w:pPr>
        <w:numPr>
          <w:ilvl w:val="1"/>
          <w:numId w:val="29"/>
        </w:numPr>
        <w:overflowPunct w:val="0"/>
        <w:autoSpaceDE w:val="0"/>
        <w:autoSpaceDN w:val="0"/>
        <w:adjustRightInd w:val="0"/>
        <w:spacing w:after="120" w:line="240" w:lineRule="auto"/>
        <w:jc w:val="both"/>
        <w:textAlignment w:val="baseline"/>
        <w:rPr>
          <w:rFonts w:ascii="Times New Roman" w:eastAsia="Times New Roman" w:hAnsi="Times New Roman"/>
          <w:bCs/>
          <w:i/>
          <w:lang w:val="en-GB" w:eastAsia="zh-CN"/>
        </w:rPr>
      </w:pPr>
      <w:r w:rsidRPr="002A1A3B">
        <w:rPr>
          <w:rFonts w:ascii="Times New Roman" w:eastAsia="Times New Roman" w:hAnsi="Times New Roman"/>
          <w:b/>
          <w:bCs/>
          <w:i/>
          <w:lang w:val="en-GB" w:eastAsia="zh-CN"/>
        </w:rPr>
        <w:t>Scheme 1b</w:t>
      </w:r>
      <w:r w:rsidRPr="002A1A3B">
        <w:rPr>
          <w:rFonts w:ascii="Times New Roman" w:eastAsia="Times New Roman" w:hAnsi="Times New Roman"/>
          <w:bCs/>
          <w:i/>
          <w:lang w:val="en-GB" w:eastAsia="zh-CN"/>
        </w:rPr>
        <w:t>: different TBs</w:t>
      </w:r>
    </w:p>
    <w:p w14:paraId="51657D79" w14:textId="77777777" w:rsidR="00450DB5" w:rsidRPr="002A1A3B" w:rsidRDefault="00450DB5" w:rsidP="00450DB5">
      <w:pPr>
        <w:numPr>
          <w:ilvl w:val="0"/>
          <w:numId w:val="29"/>
        </w:numPr>
        <w:overflowPunct w:val="0"/>
        <w:autoSpaceDE w:val="0"/>
        <w:autoSpaceDN w:val="0"/>
        <w:adjustRightInd w:val="0"/>
        <w:spacing w:after="120" w:line="240" w:lineRule="auto"/>
        <w:jc w:val="both"/>
        <w:textAlignment w:val="baseline"/>
        <w:rPr>
          <w:rFonts w:ascii="Times New Roman" w:eastAsia="Times New Roman" w:hAnsi="Times New Roman"/>
          <w:bCs/>
          <w:i/>
          <w:lang w:val="en-GB" w:eastAsia="zh-CN"/>
        </w:rPr>
      </w:pPr>
      <w:r w:rsidRPr="002A1A3B">
        <w:rPr>
          <w:rFonts w:ascii="Times New Roman" w:eastAsia="Times New Roman" w:hAnsi="Times New Roman"/>
          <w:b/>
          <w:bCs/>
          <w:i/>
          <w:lang w:val="en-GB" w:eastAsia="zh-CN"/>
        </w:rPr>
        <w:t>Scheme 2</w:t>
      </w:r>
      <w:r w:rsidRPr="002A1A3B">
        <w:rPr>
          <w:rFonts w:ascii="Times New Roman" w:eastAsia="Times New Roman" w:hAnsi="Times New Roman"/>
          <w:bCs/>
          <w:i/>
          <w:lang w:val="en-GB" w:eastAsia="zh-CN"/>
        </w:rPr>
        <w:t xml:space="preserve"> (identified as beneficial): Scheduling multiple TTIs with different TBs for PUSCH using multiple UL grants in the same PDCCH monitoring occasion</w:t>
      </w:r>
    </w:p>
    <w:p w14:paraId="3D8B773B" w14:textId="77777777" w:rsidR="00450DB5" w:rsidRPr="002A1A3B" w:rsidRDefault="00450DB5" w:rsidP="00450DB5">
      <w:pPr>
        <w:numPr>
          <w:ilvl w:val="0"/>
          <w:numId w:val="29"/>
        </w:numPr>
        <w:overflowPunct w:val="0"/>
        <w:autoSpaceDE w:val="0"/>
        <w:autoSpaceDN w:val="0"/>
        <w:adjustRightInd w:val="0"/>
        <w:spacing w:after="120" w:line="240" w:lineRule="auto"/>
        <w:jc w:val="both"/>
        <w:textAlignment w:val="baseline"/>
        <w:rPr>
          <w:rFonts w:ascii="Times New Roman" w:eastAsia="Times New Roman" w:hAnsi="Times New Roman"/>
          <w:bCs/>
          <w:i/>
          <w:lang w:val="en-GB" w:eastAsia="zh-CN"/>
        </w:rPr>
      </w:pPr>
      <w:r w:rsidRPr="002A1A3B">
        <w:rPr>
          <w:rFonts w:ascii="Times New Roman" w:eastAsia="Times New Roman" w:hAnsi="Times New Roman"/>
          <w:b/>
          <w:bCs/>
          <w:i/>
          <w:lang w:val="en-GB" w:eastAsia="zh-CN"/>
        </w:rPr>
        <w:t>Scheme 3</w:t>
      </w:r>
      <w:r w:rsidRPr="002A1A3B">
        <w:rPr>
          <w:rFonts w:ascii="Times New Roman" w:eastAsia="Times New Roman" w:hAnsi="Times New Roman"/>
          <w:bCs/>
          <w:i/>
          <w:lang w:val="en-GB" w:eastAsia="zh-CN"/>
        </w:rPr>
        <w:t>: for scheduling multiple TTIs for PDSCH using a single DL assignment</w:t>
      </w:r>
    </w:p>
    <w:p w14:paraId="2A69D7F8" w14:textId="77777777" w:rsidR="00450DB5" w:rsidRPr="002A1A3B" w:rsidRDefault="00450DB5" w:rsidP="00450DB5">
      <w:pPr>
        <w:numPr>
          <w:ilvl w:val="1"/>
          <w:numId w:val="29"/>
        </w:numPr>
        <w:overflowPunct w:val="0"/>
        <w:autoSpaceDE w:val="0"/>
        <w:autoSpaceDN w:val="0"/>
        <w:adjustRightInd w:val="0"/>
        <w:spacing w:after="120" w:line="240" w:lineRule="auto"/>
        <w:jc w:val="both"/>
        <w:textAlignment w:val="baseline"/>
        <w:rPr>
          <w:rFonts w:ascii="Times New Roman" w:eastAsia="Times New Roman" w:hAnsi="Times New Roman"/>
          <w:bCs/>
          <w:i/>
          <w:lang w:val="en-GB" w:eastAsia="zh-CN"/>
        </w:rPr>
      </w:pPr>
      <w:r w:rsidRPr="002A1A3B">
        <w:rPr>
          <w:rFonts w:ascii="Times New Roman" w:eastAsia="Times New Roman" w:hAnsi="Times New Roman"/>
          <w:b/>
          <w:bCs/>
          <w:i/>
          <w:lang w:val="en-GB" w:eastAsia="zh-CN"/>
        </w:rPr>
        <w:t>Scheme 3a</w:t>
      </w:r>
      <w:r w:rsidRPr="002A1A3B">
        <w:rPr>
          <w:rFonts w:ascii="Times New Roman" w:eastAsia="Times New Roman" w:hAnsi="Times New Roman"/>
          <w:bCs/>
          <w:i/>
          <w:lang w:val="en-GB" w:eastAsia="zh-CN"/>
        </w:rPr>
        <w:t>: same TB (supported in Rel-15)</w:t>
      </w:r>
    </w:p>
    <w:p w14:paraId="398F0E26" w14:textId="77777777" w:rsidR="00450DB5" w:rsidRPr="002A1A3B" w:rsidRDefault="00450DB5" w:rsidP="00450DB5">
      <w:pPr>
        <w:numPr>
          <w:ilvl w:val="1"/>
          <w:numId w:val="29"/>
        </w:numPr>
        <w:overflowPunct w:val="0"/>
        <w:autoSpaceDE w:val="0"/>
        <w:autoSpaceDN w:val="0"/>
        <w:adjustRightInd w:val="0"/>
        <w:spacing w:after="120" w:line="240" w:lineRule="auto"/>
        <w:jc w:val="both"/>
        <w:textAlignment w:val="baseline"/>
        <w:rPr>
          <w:rFonts w:ascii="Times New Roman" w:eastAsia="Times New Roman" w:hAnsi="Times New Roman"/>
          <w:bCs/>
          <w:i/>
          <w:lang w:val="en-GB" w:eastAsia="zh-CN"/>
        </w:rPr>
      </w:pPr>
      <w:r w:rsidRPr="002A1A3B">
        <w:rPr>
          <w:rFonts w:ascii="Times New Roman" w:eastAsia="Times New Roman" w:hAnsi="Times New Roman"/>
          <w:b/>
          <w:bCs/>
          <w:i/>
          <w:lang w:val="en-GB" w:eastAsia="zh-CN"/>
        </w:rPr>
        <w:t>Scheme 3b</w:t>
      </w:r>
      <w:r w:rsidRPr="002A1A3B">
        <w:rPr>
          <w:rFonts w:ascii="Times New Roman" w:eastAsia="Times New Roman" w:hAnsi="Times New Roman"/>
          <w:bCs/>
          <w:i/>
          <w:lang w:val="en-GB" w:eastAsia="zh-CN"/>
        </w:rPr>
        <w:t xml:space="preserve">: different </w:t>
      </w:r>
      <w:proofErr w:type="spellStart"/>
      <w:r w:rsidRPr="002A1A3B">
        <w:rPr>
          <w:rFonts w:ascii="Times New Roman" w:eastAsia="Times New Roman" w:hAnsi="Times New Roman"/>
          <w:bCs/>
          <w:i/>
          <w:lang w:val="en-GB" w:eastAsia="zh-CN"/>
        </w:rPr>
        <w:t>TBs.</w:t>
      </w:r>
      <w:proofErr w:type="spellEnd"/>
    </w:p>
    <w:p w14:paraId="4BD8DD7A" w14:textId="77777777" w:rsidR="00450DB5" w:rsidRPr="00450DB5" w:rsidRDefault="00450DB5" w:rsidP="00450DB5">
      <w:pPr>
        <w:jc w:val="both"/>
        <w:rPr>
          <w:rFonts w:ascii="Times New Roman" w:hAnsi="Times New Roman"/>
        </w:rPr>
      </w:pPr>
    </w:p>
    <w:p w14:paraId="1F447C6C" w14:textId="28911180" w:rsidR="00450DB5" w:rsidRPr="00450DB5" w:rsidRDefault="00450DB5" w:rsidP="00450DB5">
      <w:pPr>
        <w:jc w:val="both"/>
        <w:rPr>
          <w:rFonts w:ascii="Times New Roman" w:hAnsi="Times New Roman"/>
        </w:rPr>
      </w:pPr>
      <w:r w:rsidRPr="00450DB5">
        <w:rPr>
          <w:rFonts w:ascii="Times New Roman" w:hAnsi="Times New Roman"/>
        </w:rPr>
        <w:t xml:space="preserve">If </w:t>
      </w:r>
      <w:r w:rsidRPr="00450DB5">
        <w:rPr>
          <w:rFonts w:ascii="Times New Roman" w:hAnsi="Times New Roman"/>
          <w:b/>
        </w:rPr>
        <w:t xml:space="preserve">Scheme 1 </w:t>
      </w:r>
      <w:r w:rsidRPr="00450DB5">
        <w:rPr>
          <w:rFonts w:ascii="Times New Roman" w:hAnsi="Times New Roman"/>
        </w:rPr>
        <w:t>is used for different TBs, the DCI will have to be modified to indicate a set of HARQ processes and a set of NDIs. This could require an unreasonable increase in the DCI payload. Therefore, it would make sense for the UE to determine the set of HARQ processes without explicit signalling of all applicable HARQ process IDs.</w:t>
      </w:r>
    </w:p>
    <w:p w14:paraId="216608DD" w14:textId="23327872" w:rsidR="00450DB5" w:rsidRPr="00450DB5" w:rsidRDefault="00450DB5" w:rsidP="002A1A3B">
      <w:pPr>
        <w:spacing w:before="240" w:after="240"/>
        <w:jc w:val="both"/>
        <w:rPr>
          <w:rFonts w:ascii="Times New Roman" w:hAnsi="Times New Roman"/>
          <w:i/>
        </w:rPr>
      </w:pPr>
      <w:r w:rsidRPr="00450DB5">
        <w:rPr>
          <w:rFonts w:ascii="Times New Roman" w:hAnsi="Times New Roman"/>
          <w:b/>
          <w:i/>
          <w:u w:val="single"/>
        </w:rPr>
        <w:t xml:space="preserve">Proposal </w:t>
      </w:r>
      <w:r w:rsidR="00F7240D">
        <w:rPr>
          <w:rFonts w:ascii="Times New Roman" w:hAnsi="Times New Roman"/>
          <w:b/>
          <w:i/>
          <w:u w:val="single"/>
        </w:rPr>
        <w:t>5</w:t>
      </w:r>
      <w:r w:rsidRPr="00450DB5">
        <w:rPr>
          <w:rFonts w:ascii="Times New Roman" w:hAnsi="Times New Roman"/>
          <w:b/>
          <w:i/>
          <w:u w:val="single"/>
        </w:rPr>
        <w:t>:</w:t>
      </w:r>
      <w:r w:rsidR="000D1D0D">
        <w:rPr>
          <w:rFonts w:ascii="Times New Roman" w:hAnsi="Times New Roman"/>
          <w:i/>
        </w:rPr>
        <w:t xml:space="preserve"> </w:t>
      </w:r>
      <w:r w:rsidRPr="00450DB5">
        <w:rPr>
          <w:rFonts w:ascii="Times New Roman" w:hAnsi="Times New Roman"/>
          <w:i/>
        </w:rPr>
        <w:t>The UE determines the HARQ Process ID(s) applicable to TB(s) transmitted part of a multi-TTI grant without requiring explicit indication of more than one HARQ process ID in the UL grant.</w:t>
      </w:r>
    </w:p>
    <w:p w14:paraId="4408755E" w14:textId="581EE259" w:rsidR="00B40AF6" w:rsidRPr="00097AAD" w:rsidRDefault="00450DB5" w:rsidP="00450DB5">
      <w:pPr>
        <w:jc w:val="both"/>
        <w:rPr>
          <w:rFonts w:ascii="Times New Roman" w:hAnsi="Times New Roman"/>
        </w:rPr>
      </w:pPr>
      <w:r w:rsidRPr="00450DB5">
        <w:rPr>
          <w:rFonts w:ascii="Times New Roman" w:hAnsi="Times New Roman"/>
        </w:rPr>
        <w:t>Another issue to consider for multi-TTI scheduling is the LBT. Depending on whether the PUSCH transmissions are adjacent or not, the UE may need to perform LBT prior to some or each of the PUSCH transmissions. Furthermore, even for adjacent TTIs, the UE may need to perform LBT prior to a TTI as a function of the successful transmission of an immediately preceding PUSCH. Lastly, we should discuss the UE behaviour when the channel is only acquired for a subset of the multi-TTIs</w:t>
      </w:r>
      <w:r>
        <w:rPr>
          <w:rFonts w:ascii="Times New Roman" w:hAnsi="Times New Roman"/>
        </w:rPr>
        <w:t>.</w:t>
      </w:r>
    </w:p>
    <w:p w14:paraId="596E93DF" w14:textId="0253BCB8" w:rsidR="00821C42" w:rsidRPr="00097AAD" w:rsidRDefault="00BF17FD" w:rsidP="00821C42">
      <w:pPr>
        <w:pStyle w:val="Heading1"/>
        <w:pBdr>
          <w:top w:val="single" w:sz="12" w:space="5" w:color="auto"/>
        </w:pBdr>
        <w:spacing w:after="120"/>
        <w:rPr>
          <w:rFonts w:ascii="Times New Roman" w:hAnsi="Times New Roman"/>
          <w:b/>
          <w:sz w:val="32"/>
          <w:lang w:val="en-US"/>
        </w:rPr>
      </w:pPr>
      <w:r w:rsidRPr="00097AAD">
        <w:rPr>
          <w:rFonts w:ascii="Times New Roman" w:hAnsi="Times New Roman"/>
          <w:b/>
          <w:sz w:val="32"/>
          <w:lang w:val="en-US"/>
        </w:rPr>
        <w:t>Summary</w:t>
      </w:r>
    </w:p>
    <w:p w14:paraId="364E7615" w14:textId="3FD8652B" w:rsidR="0053467A" w:rsidRPr="00097AAD" w:rsidRDefault="0053467A" w:rsidP="0053467A">
      <w:pPr>
        <w:rPr>
          <w:rFonts w:ascii="Times New Roman" w:hAnsi="Times New Roman"/>
        </w:rPr>
      </w:pPr>
      <w:r w:rsidRPr="00097AAD">
        <w:rPr>
          <w:rFonts w:ascii="Times New Roman" w:hAnsi="Times New Roman"/>
        </w:rPr>
        <w:t xml:space="preserve">In this contribution, we discussed some </w:t>
      </w:r>
      <w:r w:rsidR="00816453" w:rsidRPr="00097AAD">
        <w:rPr>
          <w:rFonts w:ascii="Times New Roman" w:hAnsi="Times New Roman"/>
        </w:rPr>
        <w:t xml:space="preserve">enhancements to HARQ NR procedure to counter events unique to operation in unlicensed bands. </w:t>
      </w:r>
      <w:r w:rsidRPr="00097AAD">
        <w:rPr>
          <w:rFonts w:ascii="Times New Roman" w:hAnsi="Times New Roman"/>
        </w:rPr>
        <w:t>In the following, above-discussed proposals are listed:</w:t>
      </w:r>
    </w:p>
    <w:p w14:paraId="5A4A0780" w14:textId="1C10E6A5" w:rsidR="0098208A" w:rsidRDefault="0098208A" w:rsidP="0098208A">
      <w:pPr>
        <w:jc w:val="both"/>
        <w:rPr>
          <w:rFonts w:ascii="Times New Roman" w:hAnsi="Times New Roman"/>
          <w:i/>
        </w:rPr>
      </w:pPr>
      <w:r w:rsidRPr="00097AAD">
        <w:rPr>
          <w:rFonts w:ascii="Times New Roman" w:hAnsi="Times New Roman"/>
          <w:b/>
          <w:i/>
          <w:u w:val="single"/>
        </w:rPr>
        <w:t xml:space="preserve">Proposal </w:t>
      </w:r>
      <w:r>
        <w:rPr>
          <w:rFonts w:ascii="Times New Roman" w:hAnsi="Times New Roman"/>
          <w:b/>
          <w:i/>
          <w:u w:val="single"/>
        </w:rPr>
        <w:t>1</w:t>
      </w:r>
      <w:r w:rsidRPr="00097AAD">
        <w:rPr>
          <w:rFonts w:ascii="Times New Roman" w:hAnsi="Times New Roman"/>
          <w:b/>
          <w:i/>
          <w:u w:val="single"/>
        </w:rPr>
        <w:t>:</w:t>
      </w:r>
      <w:r w:rsidRPr="00097AAD">
        <w:rPr>
          <w:rFonts w:ascii="Times New Roman" w:hAnsi="Times New Roman"/>
          <w:b/>
          <w:i/>
        </w:rPr>
        <w:t xml:space="preserve"> </w:t>
      </w:r>
      <w:r>
        <w:rPr>
          <w:rFonts w:ascii="Times New Roman" w:hAnsi="Times New Roman"/>
          <w:i/>
        </w:rPr>
        <w:t>Support</w:t>
      </w:r>
      <w:r w:rsidRPr="00097AAD">
        <w:rPr>
          <w:rFonts w:ascii="Times New Roman" w:hAnsi="Times New Roman"/>
          <w:i/>
        </w:rPr>
        <w:t xml:space="preserve"> triggering </w:t>
      </w:r>
      <w:r>
        <w:rPr>
          <w:rFonts w:ascii="Times New Roman" w:hAnsi="Times New Roman"/>
          <w:i/>
        </w:rPr>
        <w:t>multiple</w:t>
      </w:r>
      <w:r w:rsidRPr="00097AAD">
        <w:rPr>
          <w:rFonts w:ascii="Times New Roman" w:hAnsi="Times New Roman"/>
          <w:i/>
        </w:rPr>
        <w:t xml:space="preserve"> HARQ-</w:t>
      </w:r>
      <w:r>
        <w:rPr>
          <w:rFonts w:ascii="Times New Roman" w:hAnsi="Times New Roman"/>
          <w:i/>
        </w:rPr>
        <w:t xml:space="preserve">ACK </w:t>
      </w:r>
      <w:r w:rsidRPr="00097AAD">
        <w:rPr>
          <w:rFonts w:ascii="Times New Roman" w:hAnsi="Times New Roman"/>
          <w:i/>
        </w:rPr>
        <w:t>feedback</w:t>
      </w:r>
      <w:r>
        <w:rPr>
          <w:rFonts w:ascii="Times New Roman" w:hAnsi="Times New Roman"/>
          <w:i/>
        </w:rPr>
        <w:t xml:space="preserve">s </w:t>
      </w:r>
      <w:r w:rsidR="002F2662">
        <w:rPr>
          <w:rFonts w:ascii="Times New Roman" w:hAnsi="Times New Roman"/>
          <w:i/>
        </w:rPr>
        <w:t xml:space="preserve">with a single DCI </w:t>
      </w:r>
      <w:r>
        <w:rPr>
          <w:rFonts w:ascii="Times New Roman" w:hAnsi="Times New Roman"/>
          <w:i/>
        </w:rPr>
        <w:t>in NR-U.</w:t>
      </w:r>
    </w:p>
    <w:p w14:paraId="18022B09" w14:textId="77777777" w:rsidR="002F2662" w:rsidRDefault="002F2662" w:rsidP="002F2662">
      <w:pPr>
        <w:jc w:val="both"/>
        <w:rPr>
          <w:rFonts w:ascii="Times New Roman" w:hAnsi="Times New Roman"/>
          <w:i/>
        </w:rPr>
      </w:pPr>
      <w:r w:rsidRPr="00097AAD">
        <w:rPr>
          <w:rFonts w:ascii="Times New Roman" w:hAnsi="Times New Roman"/>
          <w:b/>
          <w:i/>
          <w:u w:val="single"/>
        </w:rPr>
        <w:t xml:space="preserve">Proposal </w:t>
      </w:r>
      <w:r>
        <w:rPr>
          <w:rFonts w:ascii="Times New Roman" w:hAnsi="Times New Roman"/>
          <w:b/>
          <w:i/>
          <w:u w:val="single"/>
        </w:rPr>
        <w:t>2</w:t>
      </w:r>
      <w:r w:rsidRPr="00097AAD">
        <w:rPr>
          <w:rFonts w:ascii="Times New Roman" w:hAnsi="Times New Roman"/>
          <w:b/>
          <w:i/>
          <w:u w:val="single"/>
        </w:rPr>
        <w:t>:</w:t>
      </w:r>
      <w:r w:rsidRPr="00097AAD">
        <w:rPr>
          <w:rFonts w:ascii="Times New Roman" w:hAnsi="Times New Roman"/>
          <w:b/>
          <w:i/>
        </w:rPr>
        <w:t xml:space="preserve"> </w:t>
      </w:r>
      <w:r>
        <w:rPr>
          <w:rFonts w:ascii="Times New Roman" w:hAnsi="Times New Roman"/>
          <w:i/>
        </w:rPr>
        <w:t xml:space="preserve">Dynamic </w:t>
      </w:r>
      <w:r w:rsidRPr="00097AAD">
        <w:rPr>
          <w:rFonts w:ascii="Times New Roman" w:hAnsi="Times New Roman"/>
          <w:i/>
        </w:rPr>
        <w:t xml:space="preserve">HARQ </w:t>
      </w:r>
      <w:r>
        <w:rPr>
          <w:rFonts w:ascii="Times New Roman" w:hAnsi="Times New Roman"/>
          <w:i/>
        </w:rPr>
        <w:t>codebook</w:t>
      </w:r>
      <w:r w:rsidRPr="00097AAD">
        <w:rPr>
          <w:rFonts w:ascii="Times New Roman" w:hAnsi="Times New Roman"/>
          <w:i/>
        </w:rPr>
        <w:t xml:space="preserve"> should be </w:t>
      </w:r>
      <w:r w:rsidRPr="00FA3B9B">
        <w:rPr>
          <w:rFonts w:ascii="Times New Roman" w:hAnsi="Times New Roman"/>
          <w:i/>
        </w:rPr>
        <w:t>enhanced</w:t>
      </w:r>
      <w:r w:rsidRPr="00097AAD">
        <w:rPr>
          <w:rFonts w:ascii="Times New Roman" w:hAnsi="Times New Roman"/>
          <w:i/>
        </w:rPr>
        <w:t xml:space="preserve"> to </w:t>
      </w:r>
      <w:r>
        <w:rPr>
          <w:rFonts w:ascii="Times New Roman" w:hAnsi="Times New Roman"/>
          <w:i/>
        </w:rPr>
        <w:t>support</w:t>
      </w:r>
      <w:r w:rsidRPr="00097AAD">
        <w:rPr>
          <w:rFonts w:ascii="Times New Roman" w:hAnsi="Times New Roman"/>
          <w:i/>
        </w:rPr>
        <w:t xml:space="preserve"> aggregation</w:t>
      </w:r>
      <w:r>
        <w:rPr>
          <w:rFonts w:ascii="Times New Roman" w:hAnsi="Times New Roman"/>
          <w:i/>
        </w:rPr>
        <w:t xml:space="preserve"> </w:t>
      </w:r>
      <w:r w:rsidRPr="00097AAD">
        <w:rPr>
          <w:rFonts w:ascii="Times New Roman" w:hAnsi="Times New Roman"/>
          <w:i/>
        </w:rPr>
        <w:t xml:space="preserve">of </w:t>
      </w:r>
      <w:r>
        <w:rPr>
          <w:rFonts w:ascii="Times New Roman" w:hAnsi="Times New Roman"/>
          <w:i/>
        </w:rPr>
        <w:t>multiple</w:t>
      </w:r>
      <w:r w:rsidRPr="00097AAD">
        <w:rPr>
          <w:rFonts w:ascii="Times New Roman" w:hAnsi="Times New Roman"/>
          <w:i/>
        </w:rPr>
        <w:t xml:space="preserve"> HARQ-</w:t>
      </w:r>
      <w:r>
        <w:rPr>
          <w:rFonts w:ascii="Times New Roman" w:hAnsi="Times New Roman"/>
          <w:i/>
        </w:rPr>
        <w:t xml:space="preserve">ACK </w:t>
      </w:r>
      <w:r w:rsidRPr="00097AAD">
        <w:rPr>
          <w:rFonts w:ascii="Times New Roman" w:hAnsi="Times New Roman"/>
          <w:i/>
        </w:rPr>
        <w:t>feedback</w:t>
      </w:r>
      <w:r>
        <w:rPr>
          <w:rFonts w:ascii="Times New Roman" w:hAnsi="Times New Roman"/>
          <w:i/>
        </w:rPr>
        <w:t xml:space="preserve">s in NR-U. </w:t>
      </w:r>
    </w:p>
    <w:p w14:paraId="2639C765" w14:textId="77777777" w:rsidR="002F2662" w:rsidRPr="00BB6ABE" w:rsidRDefault="002F2662" w:rsidP="002F2662">
      <w:pPr>
        <w:pStyle w:val="ListParagraph"/>
        <w:numPr>
          <w:ilvl w:val="0"/>
          <w:numId w:val="32"/>
        </w:numPr>
        <w:ind w:left="630" w:firstLine="540"/>
        <w:jc w:val="both"/>
        <w:rPr>
          <w:rFonts w:ascii="Times New Roman" w:hAnsi="Times New Roman"/>
          <w:i/>
        </w:rPr>
      </w:pPr>
      <w:r>
        <w:rPr>
          <w:rFonts w:ascii="Times New Roman" w:hAnsi="Times New Roman"/>
          <w:i/>
        </w:rPr>
        <w:t>Consider a</w:t>
      </w:r>
      <w:r w:rsidRPr="00BB6ABE">
        <w:rPr>
          <w:rFonts w:ascii="Times New Roman" w:hAnsi="Times New Roman"/>
          <w:i/>
        </w:rPr>
        <w:t xml:space="preserve"> UE buffer</w:t>
      </w:r>
      <w:r>
        <w:rPr>
          <w:rFonts w:ascii="Times New Roman" w:hAnsi="Times New Roman"/>
          <w:i/>
        </w:rPr>
        <w:t>ing</w:t>
      </w:r>
      <w:r w:rsidRPr="00BB6ABE">
        <w:rPr>
          <w:rFonts w:ascii="Times New Roman" w:hAnsi="Times New Roman"/>
          <w:i/>
        </w:rPr>
        <w:t xml:space="preserve"> multiple HARQ-ACK codebook processes.</w:t>
      </w:r>
    </w:p>
    <w:p w14:paraId="4B7CAA7D" w14:textId="370CA210" w:rsidR="00F97C46" w:rsidRPr="00F97C46" w:rsidRDefault="00F97C46" w:rsidP="00F972EA">
      <w:pPr>
        <w:jc w:val="both"/>
        <w:rPr>
          <w:rFonts w:ascii="Times New Roman" w:hAnsi="Times New Roman"/>
          <w:i/>
        </w:rPr>
      </w:pPr>
      <w:r w:rsidRPr="00097AAD">
        <w:rPr>
          <w:rFonts w:ascii="Times New Roman" w:hAnsi="Times New Roman"/>
          <w:b/>
          <w:i/>
          <w:u w:val="single"/>
        </w:rPr>
        <w:t xml:space="preserve">Proposal </w:t>
      </w:r>
      <w:r>
        <w:rPr>
          <w:rFonts w:ascii="Times New Roman" w:hAnsi="Times New Roman"/>
          <w:b/>
          <w:i/>
          <w:u w:val="single"/>
        </w:rPr>
        <w:t>3</w:t>
      </w:r>
      <w:r w:rsidRPr="00097AAD">
        <w:rPr>
          <w:rFonts w:ascii="Times New Roman" w:hAnsi="Times New Roman"/>
          <w:b/>
          <w:i/>
          <w:u w:val="single"/>
        </w:rPr>
        <w:t>:</w:t>
      </w:r>
      <w:r w:rsidRPr="00097AAD">
        <w:rPr>
          <w:rFonts w:ascii="Times New Roman" w:hAnsi="Times New Roman"/>
          <w:i/>
        </w:rPr>
        <w:t xml:space="preserve"> NR-U should </w:t>
      </w:r>
      <w:r>
        <w:rPr>
          <w:rFonts w:ascii="Times New Roman" w:hAnsi="Times New Roman"/>
          <w:i/>
        </w:rPr>
        <w:t xml:space="preserve">consider enhancements to the </w:t>
      </w:r>
      <w:r w:rsidRPr="00097AAD">
        <w:rPr>
          <w:rFonts w:ascii="Times New Roman" w:hAnsi="Times New Roman"/>
          <w:i/>
        </w:rPr>
        <w:t>CWS adjustment procedure</w:t>
      </w:r>
      <w:r>
        <w:rPr>
          <w:rFonts w:ascii="Times New Roman" w:hAnsi="Times New Roman"/>
          <w:i/>
        </w:rPr>
        <w:t xml:space="preserve"> considering the CBG-level A/N</w:t>
      </w:r>
      <w:r w:rsidRPr="00097AAD">
        <w:rPr>
          <w:rFonts w:ascii="Times New Roman" w:hAnsi="Times New Roman"/>
          <w:i/>
        </w:rPr>
        <w:t>.</w:t>
      </w:r>
    </w:p>
    <w:p w14:paraId="22B3D2C8" w14:textId="3F1C2D8F" w:rsidR="00F972EA" w:rsidRPr="00B06EDE" w:rsidRDefault="00F972EA" w:rsidP="00F972EA">
      <w:pPr>
        <w:jc w:val="both"/>
        <w:rPr>
          <w:rFonts w:ascii="Times New Roman" w:hAnsi="Times New Roman"/>
        </w:rPr>
      </w:pPr>
      <w:r w:rsidRPr="00097AAD">
        <w:rPr>
          <w:rFonts w:ascii="Times New Roman" w:hAnsi="Times New Roman"/>
          <w:b/>
          <w:i/>
          <w:u w:val="single"/>
        </w:rPr>
        <w:t xml:space="preserve">Proposal </w:t>
      </w:r>
      <w:r w:rsidR="00F97C46">
        <w:rPr>
          <w:rFonts w:ascii="Times New Roman" w:hAnsi="Times New Roman"/>
          <w:b/>
          <w:i/>
          <w:u w:val="single"/>
        </w:rPr>
        <w:t>4</w:t>
      </w:r>
      <w:r w:rsidRPr="00097AAD">
        <w:rPr>
          <w:rFonts w:ascii="Times New Roman" w:hAnsi="Times New Roman"/>
          <w:b/>
          <w:i/>
          <w:u w:val="single"/>
        </w:rPr>
        <w:t>:</w:t>
      </w:r>
      <w:r w:rsidRPr="00097AAD">
        <w:rPr>
          <w:rFonts w:ascii="Times New Roman" w:hAnsi="Times New Roman"/>
          <w:b/>
          <w:i/>
        </w:rPr>
        <w:t xml:space="preserve"> </w:t>
      </w:r>
      <w:r w:rsidRPr="00097AAD">
        <w:rPr>
          <w:rFonts w:ascii="Times New Roman" w:hAnsi="Times New Roman"/>
          <w:i/>
        </w:rPr>
        <w:t xml:space="preserve">If a UE has accumulated HARQ feedback for several preceding PDSCHs, the UE should be allowed: a) to prioritize PUCCH transmission carrying HARQ ACK codebook in CWS procedure, or b) to transmit PUCCH with a higher-priority LBT category.  </w:t>
      </w:r>
    </w:p>
    <w:p w14:paraId="67A9FCB9" w14:textId="10283CC0" w:rsidR="00F972EA" w:rsidRPr="00450DB5" w:rsidRDefault="00F972EA" w:rsidP="00F972EA">
      <w:pPr>
        <w:jc w:val="both"/>
        <w:rPr>
          <w:rFonts w:ascii="Times New Roman" w:hAnsi="Times New Roman"/>
          <w:i/>
        </w:rPr>
      </w:pPr>
      <w:r w:rsidRPr="00450DB5">
        <w:rPr>
          <w:rFonts w:ascii="Times New Roman" w:hAnsi="Times New Roman"/>
          <w:b/>
          <w:i/>
          <w:u w:val="single"/>
        </w:rPr>
        <w:t xml:space="preserve">Proposal </w:t>
      </w:r>
      <w:r w:rsidR="00F97C46">
        <w:rPr>
          <w:rFonts w:ascii="Times New Roman" w:hAnsi="Times New Roman"/>
          <w:b/>
          <w:i/>
          <w:u w:val="single"/>
        </w:rPr>
        <w:t>5</w:t>
      </w:r>
      <w:r w:rsidRPr="00450DB5">
        <w:rPr>
          <w:rFonts w:ascii="Times New Roman" w:hAnsi="Times New Roman"/>
          <w:b/>
          <w:i/>
          <w:u w:val="single"/>
        </w:rPr>
        <w:t>:</w:t>
      </w:r>
      <w:r>
        <w:rPr>
          <w:rFonts w:ascii="Times New Roman" w:hAnsi="Times New Roman"/>
          <w:i/>
        </w:rPr>
        <w:t xml:space="preserve"> </w:t>
      </w:r>
      <w:r w:rsidRPr="00450DB5">
        <w:rPr>
          <w:rFonts w:ascii="Times New Roman" w:hAnsi="Times New Roman"/>
          <w:i/>
        </w:rPr>
        <w:t>The UE determines the HARQ Process ID(s) applicable to TB(s) transmitted part of a multi-TTI grant without requiring explicit indication of more than one HARQ process ID in the UL grant.</w:t>
      </w:r>
    </w:p>
    <w:p w14:paraId="0EF7466D" w14:textId="77777777" w:rsidR="00251B4A" w:rsidRPr="00097AAD" w:rsidRDefault="00251B4A" w:rsidP="00251B4A">
      <w:pPr>
        <w:pStyle w:val="Heading1"/>
        <w:rPr>
          <w:rFonts w:ascii="Times New Roman" w:hAnsi="Times New Roman"/>
          <w:b/>
          <w:sz w:val="32"/>
          <w:lang w:val="en-US"/>
        </w:rPr>
      </w:pPr>
      <w:r w:rsidRPr="00097AAD">
        <w:rPr>
          <w:rFonts w:ascii="Times New Roman" w:hAnsi="Times New Roman"/>
          <w:b/>
          <w:sz w:val="32"/>
          <w:lang w:val="en-US"/>
        </w:rPr>
        <w:t>References</w:t>
      </w:r>
    </w:p>
    <w:p w14:paraId="6B2C5E8D" w14:textId="16134025" w:rsidR="00A1200A" w:rsidRDefault="00A1200A" w:rsidP="00A1200A">
      <w:pPr>
        <w:pStyle w:val="Reference"/>
        <w:numPr>
          <w:ilvl w:val="0"/>
          <w:numId w:val="26"/>
        </w:numPr>
        <w:overflowPunct w:val="0"/>
        <w:autoSpaceDE w:val="0"/>
        <w:autoSpaceDN w:val="0"/>
        <w:adjustRightInd w:val="0"/>
        <w:spacing w:line="240" w:lineRule="auto"/>
        <w:jc w:val="both"/>
        <w:textAlignment w:val="baseline"/>
        <w:rPr>
          <w:rFonts w:ascii="Times New Roman" w:hAnsi="Times New Roman"/>
        </w:rPr>
      </w:pPr>
      <w:bookmarkStart w:id="1" w:name="_Ref513201801"/>
      <w:bookmarkStart w:id="2" w:name="_Ref174151459"/>
      <w:bookmarkStart w:id="3" w:name="_Ref189809556"/>
      <w:r w:rsidRPr="00DB286C">
        <w:rPr>
          <w:rFonts w:ascii="Times New Roman" w:hAnsi="Times New Roman"/>
        </w:rPr>
        <w:t>RP-182878</w:t>
      </w:r>
      <w:r>
        <w:rPr>
          <w:rFonts w:ascii="Times New Roman" w:hAnsi="Times New Roman"/>
        </w:rPr>
        <w:t xml:space="preserve"> “</w:t>
      </w:r>
      <w:r w:rsidRPr="00DB286C">
        <w:rPr>
          <w:rFonts w:ascii="Times New Roman" w:hAnsi="Times New Roman"/>
        </w:rPr>
        <w:t>NR-based Access to Unlicensed Spectrum</w:t>
      </w:r>
      <w:r>
        <w:rPr>
          <w:rFonts w:ascii="Times New Roman" w:hAnsi="Times New Roman"/>
        </w:rPr>
        <w:t xml:space="preserve">,” </w:t>
      </w:r>
      <w:r w:rsidRPr="00DB286C">
        <w:rPr>
          <w:rFonts w:ascii="Times New Roman" w:hAnsi="Times New Roman"/>
        </w:rPr>
        <w:t>Qualcomm Inc.</w:t>
      </w:r>
      <w:r>
        <w:rPr>
          <w:rFonts w:ascii="Times New Roman" w:hAnsi="Times New Roman"/>
        </w:rPr>
        <w:t xml:space="preserve">, </w:t>
      </w:r>
      <w:r w:rsidRPr="00DB286C">
        <w:rPr>
          <w:rFonts w:ascii="Times New Roman" w:hAnsi="Times New Roman"/>
        </w:rPr>
        <w:t>3GPP TSG RAN Meeting #82</w:t>
      </w:r>
      <w:r>
        <w:rPr>
          <w:rFonts w:ascii="Times New Roman" w:hAnsi="Times New Roman"/>
        </w:rPr>
        <w:t xml:space="preserve">, </w:t>
      </w:r>
      <w:r w:rsidRPr="00DB286C">
        <w:rPr>
          <w:rFonts w:ascii="Times New Roman" w:hAnsi="Times New Roman"/>
        </w:rPr>
        <w:t>Sorrento, Italy, Dec. 10-13, 2018</w:t>
      </w:r>
      <w:r>
        <w:rPr>
          <w:rFonts w:ascii="Times New Roman" w:hAnsi="Times New Roman"/>
        </w:rPr>
        <w:t>.</w:t>
      </w:r>
    </w:p>
    <w:p w14:paraId="7B909072" w14:textId="0AB1D8A3" w:rsidR="005172A2" w:rsidRPr="005172A2" w:rsidRDefault="005172A2" w:rsidP="00B36DFD">
      <w:pPr>
        <w:pStyle w:val="Reference"/>
        <w:numPr>
          <w:ilvl w:val="0"/>
          <w:numId w:val="26"/>
        </w:numPr>
        <w:overflowPunct w:val="0"/>
        <w:autoSpaceDE w:val="0"/>
        <w:autoSpaceDN w:val="0"/>
        <w:adjustRightInd w:val="0"/>
        <w:spacing w:after="60" w:line="240" w:lineRule="auto"/>
        <w:jc w:val="both"/>
        <w:textAlignment w:val="baseline"/>
        <w:rPr>
          <w:rFonts w:ascii="Times New Roman" w:hAnsi="Times New Roman"/>
        </w:rPr>
      </w:pPr>
      <w:bookmarkStart w:id="4" w:name="_Ref490232774"/>
      <w:bookmarkStart w:id="5" w:name="_Ref490232798"/>
      <w:bookmarkStart w:id="6" w:name="_Ref520462121"/>
      <w:bookmarkStart w:id="7" w:name="_Ref521506944"/>
      <w:bookmarkStart w:id="8" w:name="_Ref528655388"/>
      <w:r w:rsidRPr="005172A2">
        <w:rPr>
          <w:rFonts w:ascii="Times New Roman" w:hAnsi="Times New Roman"/>
        </w:rPr>
        <w:t>3GPP T</w:t>
      </w:r>
      <w:bookmarkEnd w:id="4"/>
      <w:bookmarkEnd w:id="5"/>
      <w:bookmarkEnd w:id="6"/>
      <w:bookmarkEnd w:id="7"/>
      <w:bookmarkEnd w:id="8"/>
      <w:r w:rsidRPr="005172A2">
        <w:rPr>
          <w:rFonts w:ascii="Times New Roman" w:hAnsi="Times New Roman"/>
        </w:rPr>
        <w:t>R 38.889 “Study on NR-based access to unlicensed spectrum”, V16.0.0</w:t>
      </w:r>
    </w:p>
    <w:bookmarkEnd w:id="1"/>
    <w:bookmarkEnd w:id="2"/>
    <w:bookmarkEnd w:id="3"/>
    <w:p w14:paraId="243E18A9" w14:textId="77777777" w:rsidR="00F075FC" w:rsidRPr="00097AAD" w:rsidRDefault="00F075FC" w:rsidP="00993EFE">
      <w:pPr>
        <w:pStyle w:val="Reference"/>
        <w:numPr>
          <w:ilvl w:val="0"/>
          <w:numId w:val="0"/>
        </w:numPr>
        <w:rPr>
          <w:rFonts w:ascii="Times New Roman" w:hAnsi="Times New Roman"/>
        </w:rPr>
      </w:pPr>
    </w:p>
    <w:sectPr w:rsidR="00F075FC" w:rsidRPr="00097AAD"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800A4" w14:textId="77777777" w:rsidR="00FE2E26" w:rsidRDefault="00FE2E26">
      <w:r>
        <w:separator/>
      </w:r>
    </w:p>
  </w:endnote>
  <w:endnote w:type="continuationSeparator" w:id="0">
    <w:p w14:paraId="4A736B44" w14:textId="77777777" w:rsidR="00FE2E26" w:rsidRDefault="00FE2E26">
      <w:r>
        <w:continuationSeparator/>
      </w:r>
    </w:p>
  </w:endnote>
  <w:endnote w:type="continuationNotice" w:id="1">
    <w:p w14:paraId="5E410F21" w14:textId="77777777" w:rsidR="00FE2E26" w:rsidRDefault="00FE2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D857A" w14:textId="77777777" w:rsidR="00FE2E26" w:rsidRDefault="00FE2E26">
      <w:r>
        <w:separator/>
      </w:r>
    </w:p>
  </w:footnote>
  <w:footnote w:type="continuationSeparator" w:id="0">
    <w:p w14:paraId="182FDFA8" w14:textId="77777777" w:rsidR="00FE2E26" w:rsidRDefault="00FE2E26">
      <w:r>
        <w:continuationSeparator/>
      </w:r>
    </w:p>
  </w:footnote>
  <w:footnote w:type="continuationNotice" w:id="1">
    <w:p w14:paraId="4CAC6BC9" w14:textId="77777777" w:rsidR="00FE2E26" w:rsidRDefault="00FE2E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7F0E45"/>
    <w:multiLevelType w:val="hybridMultilevel"/>
    <w:tmpl w:val="284EA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FE5CE6"/>
    <w:multiLevelType w:val="hybridMultilevel"/>
    <w:tmpl w:val="41A6F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3"/>
  </w:num>
  <w:num w:numId="4">
    <w:abstractNumId w:val="14"/>
  </w:num>
  <w:num w:numId="5">
    <w:abstractNumId w:val="9"/>
  </w:num>
  <w:num w:numId="6">
    <w:abstractNumId w:val="15"/>
  </w:num>
  <w:num w:numId="7">
    <w:abstractNumId w:val="23"/>
  </w:num>
  <w:num w:numId="8">
    <w:abstractNumId w:val="10"/>
  </w:num>
  <w:num w:numId="9">
    <w:abstractNumId w:val="29"/>
  </w:num>
  <w:num w:numId="10">
    <w:abstractNumId w:val="7"/>
  </w:num>
  <w:num w:numId="11">
    <w:abstractNumId w:val="1"/>
  </w:num>
  <w:num w:numId="12">
    <w:abstractNumId w:val="17"/>
  </w:num>
  <w:num w:numId="13">
    <w:abstractNumId w:val="26"/>
  </w:num>
  <w:num w:numId="14">
    <w:abstractNumId w:val="6"/>
  </w:num>
  <w:num w:numId="15">
    <w:abstractNumId w:val="0"/>
  </w:num>
  <w:num w:numId="16">
    <w:abstractNumId w:val="24"/>
  </w:num>
  <w:num w:numId="17">
    <w:abstractNumId w:val="21"/>
  </w:num>
  <w:num w:numId="18">
    <w:abstractNumId w:val="25"/>
  </w:num>
  <w:num w:numId="19">
    <w:abstractNumId w:val="5"/>
  </w:num>
  <w:num w:numId="20">
    <w:abstractNumId w:val="16"/>
  </w:num>
  <w:num w:numId="21">
    <w:abstractNumId w:val="27"/>
  </w:num>
  <w:num w:numId="22">
    <w:abstractNumId w:val="2"/>
  </w:num>
  <w:num w:numId="23">
    <w:abstractNumId w:val="20"/>
  </w:num>
  <w:num w:numId="24">
    <w:abstractNumId w:val="28"/>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4"/>
  </w:num>
  <w:num w:numId="28">
    <w:abstractNumId w:val="8"/>
  </w:num>
  <w:num w:numId="29">
    <w:abstractNumId w:val="19"/>
  </w:num>
  <w:num w:numId="30">
    <w:abstractNumId w:val="22"/>
  </w:num>
  <w:num w:numId="31">
    <w:abstractNumId w:val="11"/>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EE1"/>
    <w:rsid w:val="00002F99"/>
    <w:rsid w:val="0000325C"/>
    <w:rsid w:val="000039A7"/>
    <w:rsid w:val="00003E50"/>
    <w:rsid w:val="00003EC3"/>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4F4"/>
    <w:rsid w:val="000208E4"/>
    <w:rsid w:val="00021143"/>
    <w:rsid w:val="00022522"/>
    <w:rsid w:val="00022C6C"/>
    <w:rsid w:val="00023233"/>
    <w:rsid w:val="00024F2F"/>
    <w:rsid w:val="00025050"/>
    <w:rsid w:val="0002564D"/>
    <w:rsid w:val="00025D5F"/>
    <w:rsid w:val="00025ECA"/>
    <w:rsid w:val="00026309"/>
    <w:rsid w:val="00026CB5"/>
    <w:rsid w:val="00026DEB"/>
    <w:rsid w:val="00026E30"/>
    <w:rsid w:val="00027DEF"/>
    <w:rsid w:val="00030C64"/>
    <w:rsid w:val="00031297"/>
    <w:rsid w:val="00031598"/>
    <w:rsid w:val="000325B8"/>
    <w:rsid w:val="00033351"/>
    <w:rsid w:val="0003337A"/>
    <w:rsid w:val="0003410A"/>
    <w:rsid w:val="000341A1"/>
    <w:rsid w:val="00034C15"/>
    <w:rsid w:val="00035EA8"/>
    <w:rsid w:val="00035F74"/>
    <w:rsid w:val="00036BA1"/>
    <w:rsid w:val="000405A0"/>
    <w:rsid w:val="00040B78"/>
    <w:rsid w:val="0004149C"/>
    <w:rsid w:val="0004157C"/>
    <w:rsid w:val="00041605"/>
    <w:rsid w:val="000422E2"/>
    <w:rsid w:val="00042BE0"/>
    <w:rsid w:val="00042F22"/>
    <w:rsid w:val="000437FA"/>
    <w:rsid w:val="00043DDF"/>
    <w:rsid w:val="00044278"/>
    <w:rsid w:val="000444EF"/>
    <w:rsid w:val="000449F6"/>
    <w:rsid w:val="00044A9C"/>
    <w:rsid w:val="000455AE"/>
    <w:rsid w:val="00045651"/>
    <w:rsid w:val="00045735"/>
    <w:rsid w:val="00045AD3"/>
    <w:rsid w:val="00050178"/>
    <w:rsid w:val="00050717"/>
    <w:rsid w:val="00050D83"/>
    <w:rsid w:val="00050E2C"/>
    <w:rsid w:val="000511FA"/>
    <w:rsid w:val="0005264F"/>
    <w:rsid w:val="00052720"/>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97AAD"/>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1303"/>
    <w:rsid w:val="000B254C"/>
    <w:rsid w:val="000B2719"/>
    <w:rsid w:val="000B3347"/>
    <w:rsid w:val="000B3516"/>
    <w:rsid w:val="000B3A8F"/>
    <w:rsid w:val="000B4AB9"/>
    <w:rsid w:val="000B4B9C"/>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145"/>
    <w:rsid w:val="000C64E6"/>
    <w:rsid w:val="000C6F9D"/>
    <w:rsid w:val="000D0D07"/>
    <w:rsid w:val="000D162D"/>
    <w:rsid w:val="000D1D0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713"/>
    <w:rsid w:val="00127D88"/>
    <w:rsid w:val="00130985"/>
    <w:rsid w:val="0013192D"/>
    <w:rsid w:val="00131BF9"/>
    <w:rsid w:val="00131FE9"/>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7286"/>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409"/>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E6F"/>
    <w:rsid w:val="00185251"/>
    <w:rsid w:val="001856D0"/>
    <w:rsid w:val="00186721"/>
    <w:rsid w:val="00186F7A"/>
    <w:rsid w:val="00187149"/>
    <w:rsid w:val="00187FF9"/>
    <w:rsid w:val="00190307"/>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759"/>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691"/>
    <w:rsid w:val="001E7AED"/>
    <w:rsid w:val="001F0CCF"/>
    <w:rsid w:val="001F1E63"/>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11FD"/>
    <w:rsid w:val="00212596"/>
    <w:rsid w:val="00212D1B"/>
    <w:rsid w:val="00212D2F"/>
    <w:rsid w:val="0021336E"/>
    <w:rsid w:val="002142FC"/>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47E"/>
    <w:rsid w:val="0023156D"/>
    <w:rsid w:val="002319E4"/>
    <w:rsid w:val="002320DA"/>
    <w:rsid w:val="00232491"/>
    <w:rsid w:val="00233E89"/>
    <w:rsid w:val="002346E3"/>
    <w:rsid w:val="002349E8"/>
    <w:rsid w:val="00235632"/>
    <w:rsid w:val="00235872"/>
    <w:rsid w:val="00235CAB"/>
    <w:rsid w:val="00235DAD"/>
    <w:rsid w:val="00236493"/>
    <w:rsid w:val="00236E78"/>
    <w:rsid w:val="00236ED3"/>
    <w:rsid w:val="0023724A"/>
    <w:rsid w:val="00237918"/>
    <w:rsid w:val="002413CC"/>
    <w:rsid w:val="00241559"/>
    <w:rsid w:val="00241D36"/>
    <w:rsid w:val="00242362"/>
    <w:rsid w:val="00242547"/>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A17"/>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DDB"/>
    <w:rsid w:val="00295BE1"/>
    <w:rsid w:val="00295FCF"/>
    <w:rsid w:val="00296227"/>
    <w:rsid w:val="00296314"/>
    <w:rsid w:val="00296F44"/>
    <w:rsid w:val="0029777D"/>
    <w:rsid w:val="00297815"/>
    <w:rsid w:val="002A055E"/>
    <w:rsid w:val="002A11C7"/>
    <w:rsid w:val="002A1733"/>
    <w:rsid w:val="002A1A3B"/>
    <w:rsid w:val="002A1D4E"/>
    <w:rsid w:val="002A1F3F"/>
    <w:rsid w:val="002A2107"/>
    <w:rsid w:val="002A2869"/>
    <w:rsid w:val="002A2B92"/>
    <w:rsid w:val="002A2C6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1EC"/>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58EF"/>
    <w:rsid w:val="002C6364"/>
    <w:rsid w:val="002C63B6"/>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662"/>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FEF"/>
    <w:rsid w:val="0030501F"/>
    <w:rsid w:val="00305444"/>
    <w:rsid w:val="0030704D"/>
    <w:rsid w:val="00307A45"/>
    <w:rsid w:val="00307BA1"/>
    <w:rsid w:val="00310AAB"/>
    <w:rsid w:val="00311702"/>
    <w:rsid w:val="00311E82"/>
    <w:rsid w:val="003124BA"/>
    <w:rsid w:val="00312C0A"/>
    <w:rsid w:val="00313FD6"/>
    <w:rsid w:val="003143BD"/>
    <w:rsid w:val="003153C1"/>
    <w:rsid w:val="00315FD9"/>
    <w:rsid w:val="003178FC"/>
    <w:rsid w:val="00320177"/>
    <w:rsid w:val="003203ED"/>
    <w:rsid w:val="0032130F"/>
    <w:rsid w:val="00322820"/>
    <w:rsid w:val="00322C9F"/>
    <w:rsid w:val="003233E6"/>
    <w:rsid w:val="00324135"/>
    <w:rsid w:val="003242DD"/>
    <w:rsid w:val="00324804"/>
    <w:rsid w:val="00324AA1"/>
    <w:rsid w:val="00324D23"/>
    <w:rsid w:val="00325768"/>
    <w:rsid w:val="00325884"/>
    <w:rsid w:val="00325F35"/>
    <w:rsid w:val="003260A9"/>
    <w:rsid w:val="00326D7E"/>
    <w:rsid w:val="00330C8F"/>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80D7D"/>
    <w:rsid w:val="0038102E"/>
    <w:rsid w:val="003821E2"/>
    <w:rsid w:val="00382F0E"/>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742"/>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F3D"/>
    <w:rsid w:val="003B4971"/>
    <w:rsid w:val="003B4EB4"/>
    <w:rsid w:val="003B53CC"/>
    <w:rsid w:val="003B6931"/>
    <w:rsid w:val="003B72C3"/>
    <w:rsid w:val="003B795B"/>
    <w:rsid w:val="003B7AC3"/>
    <w:rsid w:val="003B7FE5"/>
    <w:rsid w:val="003C0468"/>
    <w:rsid w:val="003C0D50"/>
    <w:rsid w:val="003C11C8"/>
    <w:rsid w:val="003C12B9"/>
    <w:rsid w:val="003C2026"/>
    <w:rsid w:val="003C22BF"/>
    <w:rsid w:val="003C2702"/>
    <w:rsid w:val="003C2907"/>
    <w:rsid w:val="003C3076"/>
    <w:rsid w:val="003C3160"/>
    <w:rsid w:val="003C359F"/>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649"/>
    <w:rsid w:val="003D671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6C6"/>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B5E"/>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E58"/>
    <w:rsid w:val="00434ED0"/>
    <w:rsid w:val="00436119"/>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B5"/>
    <w:rsid w:val="00450E98"/>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3E22"/>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459"/>
    <w:rsid w:val="00476675"/>
    <w:rsid w:val="00476AA1"/>
    <w:rsid w:val="00477493"/>
    <w:rsid w:val="004776F1"/>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2F30"/>
    <w:rsid w:val="00493240"/>
    <w:rsid w:val="00495043"/>
    <w:rsid w:val="0049514F"/>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AA8"/>
    <w:rsid w:val="004B0BE0"/>
    <w:rsid w:val="004B1049"/>
    <w:rsid w:val="004B1CFE"/>
    <w:rsid w:val="004B1DB8"/>
    <w:rsid w:val="004B2532"/>
    <w:rsid w:val="004B2F6C"/>
    <w:rsid w:val="004B4459"/>
    <w:rsid w:val="004B44CE"/>
    <w:rsid w:val="004B4593"/>
    <w:rsid w:val="004B74E1"/>
    <w:rsid w:val="004B7C0C"/>
    <w:rsid w:val="004C0138"/>
    <w:rsid w:val="004C0C9D"/>
    <w:rsid w:val="004C1260"/>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BAD"/>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2FB"/>
    <w:rsid w:val="004F735E"/>
    <w:rsid w:val="00500B52"/>
    <w:rsid w:val="005011FB"/>
    <w:rsid w:val="0050268E"/>
    <w:rsid w:val="0050318E"/>
    <w:rsid w:val="00504512"/>
    <w:rsid w:val="00504D78"/>
    <w:rsid w:val="00506557"/>
    <w:rsid w:val="005066B8"/>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5EDD"/>
    <w:rsid w:val="005172A2"/>
    <w:rsid w:val="00517FD4"/>
    <w:rsid w:val="005219CF"/>
    <w:rsid w:val="00522170"/>
    <w:rsid w:val="00522857"/>
    <w:rsid w:val="005234AA"/>
    <w:rsid w:val="005251B0"/>
    <w:rsid w:val="00525A40"/>
    <w:rsid w:val="005266DD"/>
    <w:rsid w:val="00527061"/>
    <w:rsid w:val="00527D68"/>
    <w:rsid w:val="00530333"/>
    <w:rsid w:val="00530D7E"/>
    <w:rsid w:val="00532A25"/>
    <w:rsid w:val="00533A2C"/>
    <w:rsid w:val="00533C5F"/>
    <w:rsid w:val="0053467A"/>
    <w:rsid w:val="00534AE0"/>
    <w:rsid w:val="00534B59"/>
    <w:rsid w:val="00534D24"/>
    <w:rsid w:val="00535499"/>
    <w:rsid w:val="00535666"/>
    <w:rsid w:val="00536759"/>
    <w:rsid w:val="00536B97"/>
    <w:rsid w:val="00536DF7"/>
    <w:rsid w:val="005373D6"/>
    <w:rsid w:val="00537C62"/>
    <w:rsid w:val="00537DB8"/>
    <w:rsid w:val="0054021A"/>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6DF7"/>
    <w:rsid w:val="005574AF"/>
    <w:rsid w:val="005577C0"/>
    <w:rsid w:val="00560C31"/>
    <w:rsid w:val="0056121F"/>
    <w:rsid w:val="00563ABE"/>
    <w:rsid w:val="00563BB8"/>
    <w:rsid w:val="00563D67"/>
    <w:rsid w:val="00564FBF"/>
    <w:rsid w:val="00565816"/>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DC3"/>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7388"/>
    <w:rsid w:val="005E7B39"/>
    <w:rsid w:val="005F2CB1"/>
    <w:rsid w:val="005F2D31"/>
    <w:rsid w:val="005F3E78"/>
    <w:rsid w:val="005F40F1"/>
    <w:rsid w:val="005F4108"/>
    <w:rsid w:val="005F589E"/>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379C9"/>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7DE"/>
    <w:rsid w:val="00650AB9"/>
    <w:rsid w:val="00650EA2"/>
    <w:rsid w:val="00651144"/>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2E3"/>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29D7"/>
    <w:rsid w:val="006C2D02"/>
    <w:rsid w:val="006C385B"/>
    <w:rsid w:val="006C3BFD"/>
    <w:rsid w:val="006C405C"/>
    <w:rsid w:val="006C4E5C"/>
    <w:rsid w:val="006C5245"/>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16F3"/>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1EE1"/>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45A0"/>
    <w:rsid w:val="007451E7"/>
    <w:rsid w:val="0074524B"/>
    <w:rsid w:val="007463C5"/>
    <w:rsid w:val="00746608"/>
    <w:rsid w:val="00746B15"/>
    <w:rsid w:val="00746CE2"/>
    <w:rsid w:val="00746EAC"/>
    <w:rsid w:val="007471D5"/>
    <w:rsid w:val="007474A3"/>
    <w:rsid w:val="007475C7"/>
    <w:rsid w:val="00747D8B"/>
    <w:rsid w:val="00751228"/>
    <w:rsid w:val="00751579"/>
    <w:rsid w:val="00752C50"/>
    <w:rsid w:val="007540AD"/>
    <w:rsid w:val="0075423D"/>
    <w:rsid w:val="007543CB"/>
    <w:rsid w:val="00755EC7"/>
    <w:rsid w:val="00756F2A"/>
    <w:rsid w:val="007571E1"/>
    <w:rsid w:val="007575D7"/>
    <w:rsid w:val="00757F5E"/>
    <w:rsid w:val="007602E4"/>
    <w:rsid w:val="007604B2"/>
    <w:rsid w:val="00760676"/>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6FD"/>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633"/>
    <w:rsid w:val="00791A2B"/>
    <w:rsid w:val="007925EA"/>
    <w:rsid w:val="00792975"/>
    <w:rsid w:val="007929C8"/>
    <w:rsid w:val="00792E4E"/>
    <w:rsid w:val="00793339"/>
    <w:rsid w:val="00793CD8"/>
    <w:rsid w:val="00794596"/>
    <w:rsid w:val="00794C40"/>
    <w:rsid w:val="00795C92"/>
    <w:rsid w:val="007966D3"/>
    <w:rsid w:val="00796E75"/>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B7888"/>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61C"/>
    <w:rsid w:val="007D28AC"/>
    <w:rsid w:val="007D472B"/>
    <w:rsid w:val="007D4EC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2CD"/>
    <w:rsid w:val="007F12B6"/>
    <w:rsid w:val="007F1329"/>
    <w:rsid w:val="007F1726"/>
    <w:rsid w:val="007F1FEA"/>
    <w:rsid w:val="007F2363"/>
    <w:rsid w:val="007F3F4A"/>
    <w:rsid w:val="007F4904"/>
    <w:rsid w:val="007F5988"/>
    <w:rsid w:val="007F599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BC9"/>
    <w:rsid w:val="00813D91"/>
    <w:rsid w:val="008143BB"/>
    <w:rsid w:val="00814AD5"/>
    <w:rsid w:val="00814F7B"/>
    <w:rsid w:val="00815681"/>
    <w:rsid w:val="008156D5"/>
    <w:rsid w:val="008158D6"/>
    <w:rsid w:val="00815979"/>
    <w:rsid w:val="0081598F"/>
    <w:rsid w:val="00816453"/>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33"/>
    <w:rsid w:val="00857C50"/>
    <w:rsid w:val="008601DF"/>
    <w:rsid w:val="0086099B"/>
    <w:rsid w:val="0086143D"/>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3A"/>
    <w:rsid w:val="008759A0"/>
    <w:rsid w:val="00875CD7"/>
    <w:rsid w:val="00876329"/>
    <w:rsid w:val="00876B4D"/>
    <w:rsid w:val="00876C18"/>
    <w:rsid w:val="00877943"/>
    <w:rsid w:val="00877F18"/>
    <w:rsid w:val="00880FCF"/>
    <w:rsid w:val="00881595"/>
    <w:rsid w:val="00881CDD"/>
    <w:rsid w:val="00881FF2"/>
    <w:rsid w:val="00882349"/>
    <w:rsid w:val="00883005"/>
    <w:rsid w:val="00883A8D"/>
    <w:rsid w:val="008846AC"/>
    <w:rsid w:val="008848F9"/>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D22"/>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335"/>
    <w:rsid w:val="008C3A3B"/>
    <w:rsid w:val="008C3D46"/>
    <w:rsid w:val="008C3FC2"/>
    <w:rsid w:val="008C48F8"/>
    <w:rsid w:val="008C4958"/>
    <w:rsid w:val="008C4BAA"/>
    <w:rsid w:val="008C4D2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2C5"/>
    <w:rsid w:val="008F197A"/>
    <w:rsid w:val="008F19BC"/>
    <w:rsid w:val="008F1EAB"/>
    <w:rsid w:val="008F33DC"/>
    <w:rsid w:val="008F34B2"/>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1A4"/>
    <w:rsid w:val="0092533B"/>
    <w:rsid w:val="0092560F"/>
    <w:rsid w:val="00925878"/>
    <w:rsid w:val="00925CBD"/>
    <w:rsid w:val="00926004"/>
    <w:rsid w:val="00927AAE"/>
    <w:rsid w:val="009317B6"/>
    <w:rsid w:val="00931BD9"/>
    <w:rsid w:val="00932130"/>
    <w:rsid w:val="00932952"/>
    <w:rsid w:val="00933367"/>
    <w:rsid w:val="00933E80"/>
    <w:rsid w:val="00934396"/>
    <w:rsid w:val="009349BB"/>
    <w:rsid w:val="00935A7F"/>
    <w:rsid w:val="00936353"/>
    <w:rsid w:val="00936D48"/>
    <w:rsid w:val="00937F3C"/>
    <w:rsid w:val="00940C00"/>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518"/>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C37"/>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17BF"/>
    <w:rsid w:val="0098208A"/>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7FD"/>
    <w:rsid w:val="009E3889"/>
    <w:rsid w:val="009E4004"/>
    <w:rsid w:val="009E47A3"/>
    <w:rsid w:val="009E5D88"/>
    <w:rsid w:val="009E602D"/>
    <w:rsid w:val="009E6AD5"/>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21CA"/>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200A"/>
    <w:rsid w:val="00A12492"/>
    <w:rsid w:val="00A129CA"/>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D50"/>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575"/>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27C"/>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BB"/>
    <w:rsid w:val="00AC49FB"/>
    <w:rsid w:val="00AC5199"/>
    <w:rsid w:val="00AC5569"/>
    <w:rsid w:val="00AC5A10"/>
    <w:rsid w:val="00AC5B90"/>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D16"/>
    <w:rsid w:val="00AF1E22"/>
    <w:rsid w:val="00AF271A"/>
    <w:rsid w:val="00AF3219"/>
    <w:rsid w:val="00AF42D7"/>
    <w:rsid w:val="00AF474B"/>
    <w:rsid w:val="00AF4AFF"/>
    <w:rsid w:val="00AF643F"/>
    <w:rsid w:val="00AF6DA0"/>
    <w:rsid w:val="00AF7068"/>
    <w:rsid w:val="00B006FE"/>
    <w:rsid w:val="00B007CB"/>
    <w:rsid w:val="00B00A65"/>
    <w:rsid w:val="00B02AA9"/>
    <w:rsid w:val="00B02D93"/>
    <w:rsid w:val="00B02FA3"/>
    <w:rsid w:val="00B03281"/>
    <w:rsid w:val="00B05084"/>
    <w:rsid w:val="00B06EDE"/>
    <w:rsid w:val="00B10EEB"/>
    <w:rsid w:val="00B11379"/>
    <w:rsid w:val="00B1177A"/>
    <w:rsid w:val="00B11D83"/>
    <w:rsid w:val="00B12447"/>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279"/>
    <w:rsid w:val="00B337BC"/>
    <w:rsid w:val="00B34A46"/>
    <w:rsid w:val="00B35997"/>
    <w:rsid w:val="00B36F25"/>
    <w:rsid w:val="00B36F3A"/>
    <w:rsid w:val="00B372AA"/>
    <w:rsid w:val="00B40445"/>
    <w:rsid w:val="00B40AF6"/>
    <w:rsid w:val="00B41888"/>
    <w:rsid w:val="00B422F6"/>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08AC"/>
    <w:rsid w:val="00B81A7B"/>
    <w:rsid w:val="00B81FF6"/>
    <w:rsid w:val="00B8209E"/>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08D"/>
    <w:rsid w:val="00BA33E1"/>
    <w:rsid w:val="00BA4E8B"/>
    <w:rsid w:val="00BA5484"/>
    <w:rsid w:val="00BA56D2"/>
    <w:rsid w:val="00BA5887"/>
    <w:rsid w:val="00BA58F5"/>
    <w:rsid w:val="00BA70BB"/>
    <w:rsid w:val="00BA76E0"/>
    <w:rsid w:val="00BB0A24"/>
    <w:rsid w:val="00BB0DE4"/>
    <w:rsid w:val="00BB1300"/>
    <w:rsid w:val="00BB1B23"/>
    <w:rsid w:val="00BB21B4"/>
    <w:rsid w:val="00BB2863"/>
    <w:rsid w:val="00BB2A25"/>
    <w:rsid w:val="00BB2B8E"/>
    <w:rsid w:val="00BB2BED"/>
    <w:rsid w:val="00BB30F3"/>
    <w:rsid w:val="00BB3B32"/>
    <w:rsid w:val="00BB6ABE"/>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C7C06"/>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47"/>
    <w:rsid w:val="00BE78D7"/>
    <w:rsid w:val="00BF0722"/>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21"/>
    <w:rsid w:val="00C226CD"/>
    <w:rsid w:val="00C23EAD"/>
    <w:rsid w:val="00C24AA4"/>
    <w:rsid w:val="00C24D21"/>
    <w:rsid w:val="00C26007"/>
    <w:rsid w:val="00C279B5"/>
    <w:rsid w:val="00C27C45"/>
    <w:rsid w:val="00C3137E"/>
    <w:rsid w:val="00C31BA5"/>
    <w:rsid w:val="00C31D66"/>
    <w:rsid w:val="00C32FA7"/>
    <w:rsid w:val="00C331F5"/>
    <w:rsid w:val="00C33A04"/>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15F"/>
    <w:rsid w:val="00C44972"/>
    <w:rsid w:val="00C45739"/>
    <w:rsid w:val="00C45F08"/>
    <w:rsid w:val="00C46A73"/>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6AA4"/>
    <w:rsid w:val="00C57E2F"/>
    <w:rsid w:val="00C60783"/>
    <w:rsid w:val="00C61623"/>
    <w:rsid w:val="00C61F29"/>
    <w:rsid w:val="00C62052"/>
    <w:rsid w:val="00C6223E"/>
    <w:rsid w:val="00C62910"/>
    <w:rsid w:val="00C62B74"/>
    <w:rsid w:val="00C634E4"/>
    <w:rsid w:val="00C63540"/>
    <w:rsid w:val="00C6360A"/>
    <w:rsid w:val="00C64672"/>
    <w:rsid w:val="00C654C6"/>
    <w:rsid w:val="00C6550D"/>
    <w:rsid w:val="00C65560"/>
    <w:rsid w:val="00C65765"/>
    <w:rsid w:val="00C65EBC"/>
    <w:rsid w:val="00C65F0C"/>
    <w:rsid w:val="00C66472"/>
    <w:rsid w:val="00C668F7"/>
    <w:rsid w:val="00C6692D"/>
    <w:rsid w:val="00C671CA"/>
    <w:rsid w:val="00C67D98"/>
    <w:rsid w:val="00C70697"/>
    <w:rsid w:val="00C70D2F"/>
    <w:rsid w:val="00C728F3"/>
    <w:rsid w:val="00C72D7D"/>
    <w:rsid w:val="00C72EF4"/>
    <w:rsid w:val="00C7412A"/>
    <w:rsid w:val="00C748B1"/>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F89"/>
    <w:rsid w:val="00CB12E7"/>
    <w:rsid w:val="00CB1F63"/>
    <w:rsid w:val="00CB2067"/>
    <w:rsid w:val="00CB37DE"/>
    <w:rsid w:val="00CB4899"/>
    <w:rsid w:val="00CB4D5A"/>
    <w:rsid w:val="00CB6855"/>
    <w:rsid w:val="00CB6997"/>
    <w:rsid w:val="00CB79B1"/>
    <w:rsid w:val="00CC040E"/>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4505"/>
    <w:rsid w:val="00CE4A12"/>
    <w:rsid w:val="00CE4B16"/>
    <w:rsid w:val="00CE59DC"/>
    <w:rsid w:val="00CE5B18"/>
    <w:rsid w:val="00CE5EBF"/>
    <w:rsid w:val="00CE7561"/>
    <w:rsid w:val="00CE75E3"/>
    <w:rsid w:val="00CF07BD"/>
    <w:rsid w:val="00CF0924"/>
    <w:rsid w:val="00CF0C35"/>
    <w:rsid w:val="00CF11F6"/>
    <w:rsid w:val="00CF1354"/>
    <w:rsid w:val="00CF3400"/>
    <w:rsid w:val="00CF3750"/>
    <w:rsid w:val="00CF3B1F"/>
    <w:rsid w:val="00CF3BF6"/>
    <w:rsid w:val="00CF3C36"/>
    <w:rsid w:val="00CF5117"/>
    <w:rsid w:val="00CF57A9"/>
    <w:rsid w:val="00CF625B"/>
    <w:rsid w:val="00CF6712"/>
    <w:rsid w:val="00CF687E"/>
    <w:rsid w:val="00CF743E"/>
    <w:rsid w:val="00CF7E84"/>
    <w:rsid w:val="00D018A7"/>
    <w:rsid w:val="00D01A7D"/>
    <w:rsid w:val="00D01D27"/>
    <w:rsid w:val="00D02803"/>
    <w:rsid w:val="00D0349B"/>
    <w:rsid w:val="00D04EAA"/>
    <w:rsid w:val="00D05A48"/>
    <w:rsid w:val="00D0634C"/>
    <w:rsid w:val="00D06D04"/>
    <w:rsid w:val="00D07567"/>
    <w:rsid w:val="00D07C8C"/>
    <w:rsid w:val="00D10249"/>
    <w:rsid w:val="00D10659"/>
    <w:rsid w:val="00D10B89"/>
    <w:rsid w:val="00D115C3"/>
    <w:rsid w:val="00D11897"/>
    <w:rsid w:val="00D120C4"/>
    <w:rsid w:val="00D121BA"/>
    <w:rsid w:val="00D1269E"/>
    <w:rsid w:val="00D1276E"/>
    <w:rsid w:val="00D128A7"/>
    <w:rsid w:val="00D13135"/>
    <w:rsid w:val="00D136C1"/>
    <w:rsid w:val="00D13C20"/>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2F02"/>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A6A"/>
    <w:rsid w:val="00D36E71"/>
    <w:rsid w:val="00D37053"/>
    <w:rsid w:val="00D374E5"/>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7B1D"/>
    <w:rsid w:val="00D800BC"/>
    <w:rsid w:val="00D8021F"/>
    <w:rsid w:val="00D80383"/>
    <w:rsid w:val="00D80BDA"/>
    <w:rsid w:val="00D80CB2"/>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50C5"/>
    <w:rsid w:val="00DB59AD"/>
    <w:rsid w:val="00DB6054"/>
    <w:rsid w:val="00DB6E10"/>
    <w:rsid w:val="00DB6FD5"/>
    <w:rsid w:val="00DC0BB6"/>
    <w:rsid w:val="00DC112E"/>
    <w:rsid w:val="00DC2D36"/>
    <w:rsid w:val="00DC3D86"/>
    <w:rsid w:val="00DC4E08"/>
    <w:rsid w:val="00DC4F13"/>
    <w:rsid w:val="00DC53EF"/>
    <w:rsid w:val="00DC5E99"/>
    <w:rsid w:val="00DC5FB3"/>
    <w:rsid w:val="00DC6129"/>
    <w:rsid w:val="00DC631A"/>
    <w:rsid w:val="00DC6DC7"/>
    <w:rsid w:val="00DD017F"/>
    <w:rsid w:val="00DD126B"/>
    <w:rsid w:val="00DD1AE7"/>
    <w:rsid w:val="00DD3166"/>
    <w:rsid w:val="00DD3666"/>
    <w:rsid w:val="00DD3A6E"/>
    <w:rsid w:val="00DD5857"/>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5608"/>
    <w:rsid w:val="00DE58D0"/>
    <w:rsid w:val="00DE602F"/>
    <w:rsid w:val="00DE654F"/>
    <w:rsid w:val="00DE6BFB"/>
    <w:rsid w:val="00DF0054"/>
    <w:rsid w:val="00DF0280"/>
    <w:rsid w:val="00DF1016"/>
    <w:rsid w:val="00DF10A0"/>
    <w:rsid w:val="00DF15E0"/>
    <w:rsid w:val="00DF1848"/>
    <w:rsid w:val="00DF1A70"/>
    <w:rsid w:val="00DF2A7B"/>
    <w:rsid w:val="00DF2DFD"/>
    <w:rsid w:val="00DF32AC"/>
    <w:rsid w:val="00DF37A0"/>
    <w:rsid w:val="00DF47EF"/>
    <w:rsid w:val="00DF4819"/>
    <w:rsid w:val="00DF4C14"/>
    <w:rsid w:val="00DF507A"/>
    <w:rsid w:val="00DF5CEF"/>
    <w:rsid w:val="00DF6C7A"/>
    <w:rsid w:val="00DF6FCF"/>
    <w:rsid w:val="00DF7DB1"/>
    <w:rsid w:val="00DF7F58"/>
    <w:rsid w:val="00E004AF"/>
    <w:rsid w:val="00E013F8"/>
    <w:rsid w:val="00E01521"/>
    <w:rsid w:val="00E0203C"/>
    <w:rsid w:val="00E022FC"/>
    <w:rsid w:val="00E02F50"/>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7FD"/>
    <w:rsid w:val="00E3786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167"/>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806"/>
    <w:rsid w:val="00E749C9"/>
    <w:rsid w:val="00E758EC"/>
    <w:rsid w:val="00E75B4D"/>
    <w:rsid w:val="00E76421"/>
    <w:rsid w:val="00E7776E"/>
    <w:rsid w:val="00E77CE1"/>
    <w:rsid w:val="00E80928"/>
    <w:rsid w:val="00E80F82"/>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884"/>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4CC4"/>
    <w:rsid w:val="00ED635F"/>
    <w:rsid w:val="00ED6876"/>
    <w:rsid w:val="00ED6BD6"/>
    <w:rsid w:val="00ED6E55"/>
    <w:rsid w:val="00ED78C9"/>
    <w:rsid w:val="00EE00C3"/>
    <w:rsid w:val="00EE0D13"/>
    <w:rsid w:val="00EE1873"/>
    <w:rsid w:val="00EE1F98"/>
    <w:rsid w:val="00EE280C"/>
    <w:rsid w:val="00EE28F5"/>
    <w:rsid w:val="00EE35AB"/>
    <w:rsid w:val="00EE6B5A"/>
    <w:rsid w:val="00EE7CD0"/>
    <w:rsid w:val="00EE7CE1"/>
    <w:rsid w:val="00EF00FF"/>
    <w:rsid w:val="00EF18FE"/>
    <w:rsid w:val="00EF2981"/>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5E1"/>
    <w:rsid w:val="00F15FA5"/>
    <w:rsid w:val="00F163C6"/>
    <w:rsid w:val="00F1664B"/>
    <w:rsid w:val="00F168FA"/>
    <w:rsid w:val="00F16A6F"/>
    <w:rsid w:val="00F16F27"/>
    <w:rsid w:val="00F16F51"/>
    <w:rsid w:val="00F1733E"/>
    <w:rsid w:val="00F209B7"/>
    <w:rsid w:val="00F21135"/>
    <w:rsid w:val="00F21A5D"/>
    <w:rsid w:val="00F21C5E"/>
    <w:rsid w:val="00F2247A"/>
    <w:rsid w:val="00F23D23"/>
    <w:rsid w:val="00F243D8"/>
    <w:rsid w:val="00F243E4"/>
    <w:rsid w:val="00F25787"/>
    <w:rsid w:val="00F26E23"/>
    <w:rsid w:val="00F276AD"/>
    <w:rsid w:val="00F27994"/>
    <w:rsid w:val="00F27FAF"/>
    <w:rsid w:val="00F30648"/>
    <w:rsid w:val="00F30828"/>
    <w:rsid w:val="00F313D6"/>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40D"/>
    <w:rsid w:val="00F72B72"/>
    <w:rsid w:val="00F73595"/>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2EA"/>
    <w:rsid w:val="00F97838"/>
    <w:rsid w:val="00F97C46"/>
    <w:rsid w:val="00FA007C"/>
    <w:rsid w:val="00FA070D"/>
    <w:rsid w:val="00FA1A18"/>
    <w:rsid w:val="00FA20F7"/>
    <w:rsid w:val="00FA2205"/>
    <w:rsid w:val="00FA2283"/>
    <w:rsid w:val="00FA22F2"/>
    <w:rsid w:val="00FA22F8"/>
    <w:rsid w:val="00FA2A95"/>
    <w:rsid w:val="00FA2BB3"/>
    <w:rsid w:val="00FA389F"/>
    <w:rsid w:val="00FA3B9B"/>
    <w:rsid w:val="00FA4908"/>
    <w:rsid w:val="00FA55BB"/>
    <w:rsid w:val="00FA6C4A"/>
    <w:rsid w:val="00FA6E5B"/>
    <w:rsid w:val="00FA7109"/>
    <w:rsid w:val="00FA7755"/>
    <w:rsid w:val="00FA7CF8"/>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5C3"/>
    <w:rsid w:val="00FD47ED"/>
    <w:rsid w:val="00FD710F"/>
    <w:rsid w:val="00FD74DB"/>
    <w:rsid w:val="00FD75E6"/>
    <w:rsid w:val="00FD7660"/>
    <w:rsid w:val="00FD7894"/>
    <w:rsid w:val="00FD7BE1"/>
    <w:rsid w:val="00FE0490"/>
    <w:rsid w:val="00FE0655"/>
    <w:rsid w:val="00FE0EFE"/>
    <w:rsid w:val="00FE1F53"/>
    <w:rsid w:val="00FE220A"/>
    <w:rsid w:val="00FE235E"/>
    <w:rsid w:val="00FE2365"/>
    <w:rsid w:val="00FE2E26"/>
    <w:rsid w:val="00FE32C1"/>
    <w:rsid w:val="00FE37D0"/>
    <w:rsid w:val="00FE48EB"/>
    <w:rsid w:val="00FE4C7B"/>
    <w:rsid w:val="00FE4D7E"/>
    <w:rsid w:val="00FE5659"/>
    <w:rsid w:val="00FE57B9"/>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04AF"/>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E004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04A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E004AF"/>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25"/>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rPr>
  </w:style>
  <w:style w:type="character" w:customStyle="1" w:styleId="Heading7Char">
    <w:name w:val="Heading 7 Char"/>
    <w:basedOn w:val="DefaultParagraphFont"/>
    <w:link w:val="Heading7"/>
    <w:rsid w:val="00E004AF"/>
    <w:rPr>
      <w:rFonts w:ascii="Arial" w:eastAsiaTheme="minorHAnsi" w:hAnsi="Arial" w:cs="Arial"/>
      <w:sz w:val="22"/>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2B62D15D-D832-4A58-86B8-D19E278794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4.xml><?xml version="1.0" encoding="utf-8"?>
<ds:datastoreItem xmlns:ds="http://schemas.openxmlformats.org/officeDocument/2006/customXml" ds:itemID="{FE596D34-8BF2-4878-9145-15A0C32B1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6285125-E722-4E45-9EE2-EE149AB19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2019-02-15T18:13:00Z</dcterms:created>
  <dcterms:modified xsi:type="dcterms:W3CDTF">2019-02-16T02:13:00Z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